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41BCF18D" w14:textId="77777777" w:rsidTr="001F3D08">
        <w:tc>
          <w:tcPr>
            <w:tcW w:w="2122" w:type="dxa"/>
          </w:tcPr>
          <w:p w14:paraId="47AACE3C" w14:textId="77777777" w:rsidR="000D42B6" w:rsidRPr="00B07AC9" w:rsidRDefault="001F3D08" w:rsidP="00BC10F9">
            <w:pPr>
              <w:rPr>
                <w:b/>
                <w:sz w:val="32"/>
                <w:szCs w:val="32"/>
                <w:lang w:val="nl-BE"/>
              </w:rPr>
            </w:pPr>
            <w:r>
              <w:rPr>
                <w:b/>
                <w:sz w:val="32"/>
                <w:szCs w:val="32"/>
                <w:lang w:val="nl-BE"/>
              </w:rPr>
              <w:t xml:space="preserve">ARTIKEL </w:t>
            </w:r>
            <w:r w:rsidR="00076900">
              <w:rPr>
                <w:b/>
                <w:sz w:val="32"/>
                <w:szCs w:val="32"/>
                <w:lang w:val="nl-BE"/>
              </w:rPr>
              <w:t>6:</w:t>
            </w:r>
            <w:r w:rsidR="00D87CE4">
              <w:rPr>
                <w:b/>
                <w:sz w:val="32"/>
                <w:szCs w:val="32"/>
                <w:lang w:val="nl-BE"/>
              </w:rPr>
              <w:t>107</w:t>
            </w:r>
          </w:p>
        </w:tc>
        <w:tc>
          <w:tcPr>
            <w:tcW w:w="11623" w:type="dxa"/>
            <w:gridSpan w:val="2"/>
            <w:shd w:val="clear" w:color="auto" w:fill="auto"/>
          </w:tcPr>
          <w:p w14:paraId="7EB6B14E" w14:textId="77777777" w:rsidR="000D42B6" w:rsidRPr="00382324" w:rsidRDefault="000D42B6" w:rsidP="00BC10F9">
            <w:pPr>
              <w:rPr>
                <w:rFonts w:asciiTheme="majorHAnsi" w:eastAsiaTheme="majorEastAsia" w:hAnsiTheme="majorHAnsi" w:cstheme="majorBidi"/>
                <w:b/>
                <w:bCs/>
                <w:color w:val="2E74B5" w:themeColor="accent1" w:themeShade="BF"/>
                <w:sz w:val="32"/>
                <w:szCs w:val="28"/>
                <w:lang w:val="nl-BE"/>
              </w:rPr>
            </w:pPr>
          </w:p>
        </w:tc>
      </w:tr>
      <w:tr w:rsidR="00E5733A" w:rsidRPr="00823FF8" w14:paraId="1AA78787" w14:textId="77777777" w:rsidTr="00F6276D">
        <w:tc>
          <w:tcPr>
            <w:tcW w:w="13745" w:type="dxa"/>
            <w:gridSpan w:val="3"/>
          </w:tcPr>
          <w:p w14:paraId="088B7D93" w14:textId="77777777" w:rsidR="00E5733A" w:rsidRDefault="00E5733A" w:rsidP="00E5733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6A5D3196" w14:textId="77777777" w:rsidR="00E5733A" w:rsidRDefault="00E5733A" w:rsidP="00E5733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144448BF" w14:textId="77777777" w:rsidR="00E5733A" w:rsidRPr="00E5733A" w:rsidRDefault="00E5733A" w:rsidP="00E5733A">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823FF8" w14:paraId="00F73C30" w14:textId="77777777" w:rsidTr="001F3D08">
        <w:tc>
          <w:tcPr>
            <w:tcW w:w="2122" w:type="dxa"/>
          </w:tcPr>
          <w:p w14:paraId="28070C1A" w14:textId="77777777" w:rsidR="005B33B1" w:rsidRPr="00B07AC9" w:rsidRDefault="005B33B1" w:rsidP="00BC10F9">
            <w:pPr>
              <w:rPr>
                <w:b/>
                <w:sz w:val="32"/>
                <w:szCs w:val="32"/>
                <w:lang w:val="nl-BE"/>
              </w:rPr>
            </w:pPr>
          </w:p>
        </w:tc>
        <w:tc>
          <w:tcPr>
            <w:tcW w:w="11623" w:type="dxa"/>
            <w:gridSpan w:val="2"/>
            <w:shd w:val="clear" w:color="auto" w:fill="auto"/>
          </w:tcPr>
          <w:p w14:paraId="316814EB" w14:textId="77777777" w:rsidR="005B33B1" w:rsidRPr="00382324" w:rsidRDefault="005B33B1" w:rsidP="00BC10F9">
            <w:pPr>
              <w:rPr>
                <w:rFonts w:asciiTheme="majorHAnsi" w:eastAsiaTheme="majorEastAsia" w:hAnsiTheme="majorHAnsi" w:cstheme="majorBidi"/>
                <w:b/>
                <w:bCs/>
                <w:color w:val="2E74B5" w:themeColor="accent1" w:themeShade="BF"/>
                <w:sz w:val="32"/>
                <w:szCs w:val="28"/>
                <w:lang w:val="nl-BE"/>
              </w:rPr>
            </w:pPr>
          </w:p>
        </w:tc>
      </w:tr>
      <w:tr w:rsidR="00D87CE4" w:rsidRPr="00BC10F9" w14:paraId="79DB0C58" w14:textId="77777777" w:rsidTr="00BC10F9">
        <w:trPr>
          <w:trHeight w:val="803"/>
        </w:trPr>
        <w:tc>
          <w:tcPr>
            <w:tcW w:w="2122" w:type="dxa"/>
          </w:tcPr>
          <w:p w14:paraId="27CCB57C" w14:textId="77777777" w:rsidR="00D87CE4" w:rsidRDefault="00D87CE4" w:rsidP="00BC10F9">
            <w:pPr>
              <w:spacing w:after="0" w:line="240" w:lineRule="auto"/>
              <w:jc w:val="both"/>
              <w:rPr>
                <w:rFonts w:cs="Calibri"/>
                <w:lang w:val="nl-BE"/>
              </w:rPr>
            </w:pPr>
            <w:r>
              <w:rPr>
                <w:rFonts w:cs="Calibri"/>
                <w:lang w:val="nl-BE"/>
              </w:rPr>
              <w:t>WVV</w:t>
            </w:r>
          </w:p>
        </w:tc>
        <w:tc>
          <w:tcPr>
            <w:tcW w:w="5811" w:type="dxa"/>
            <w:shd w:val="clear" w:color="auto" w:fill="auto"/>
          </w:tcPr>
          <w:p w14:paraId="735B2ACA" w14:textId="173EFBCA" w:rsidR="00D87CE4" w:rsidRPr="009775A6" w:rsidRDefault="009775A6" w:rsidP="00BC10F9">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D87CE4" w:rsidRPr="009775A6">
              <w:rPr>
                <w:rStyle w:val="Hyperlink"/>
                <w:rFonts w:cstheme="minorHAnsi"/>
                <w:lang w:val="nl-NL"/>
              </w:rPr>
              <w:t>§ 1. De vennootschap mag niet inschrijven op haar eigen aandelen, noch rechtstreeks, noch door een dochtervennootschap, noch door een persoon die handelt in eigen naam maar voor rekening van de vennootschap of de dochtervennootschap.</w:t>
            </w:r>
          </w:p>
          <w:p w14:paraId="0B857D70" w14:textId="77777777" w:rsidR="00D87CE4" w:rsidRPr="009775A6" w:rsidRDefault="00D87CE4" w:rsidP="00BC10F9">
            <w:pPr>
              <w:pStyle w:val="Geenafstand"/>
              <w:jc w:val="both"/>
              <w:rPr>
                <w:rStyle w:val="Hyperlink"/>
                <w:rFonts w:cstheme="minorHAnsi"/>
              </w:rPr>
            </w:pPr>
          </w:p>
          <w:p w14:paraId="1B29D8BA" w14:textId="77777777" w:rsidR="00D87CE4" w:rsidRPr="009775A6" w:rsidRDefault="00D87CE4" w:rsidP="00BC10F9">
            <w:pPr>
              <w:pStyle w:val="Geenafstand"/>
              <w:jc w:val="both"/>
              <w:rPr>
                <w:rStyle w:val="Hyperlink"/>
                <w:rFonts w:cstheme="minorHAnsi"/>
                <w:lang w:val="nl-NL"/>
              </w:rPr>
            </w:pPr>
            <w:r w:rsidRPr="009775A6">
              <w:rPr>
                <w:rStyle w:val="Hyperlink"/>
                <w:rFonts w:cstheme="minorHAnsi"/>
                <w:lang w:val="nl-NL"/>
              </w:rPr>
              <w:t>De persoon die in eigen naam maar voor rekening van de vennootschap of van de dochtervennootschap op aandelen bedoeld in het eerste lid heeft ingeschreven, wordt geacht voor eigen rekening te hebben gehandeld.</w:t>
            </w:r>
          </w:p>
          <w:p w14:paraId="2F6C2366" w14:textId="77777777" w:rsidR="00D87CE4" w:rsidRPr="009775A6" w:rsidRDefault="00D87CE4" w:rsidP="00BC10F9">
            <w:pPr>
              <w:pStyle w:val="Geenafstand"/>
              <w:jc w:val="both"/>
              <w:rPr>
                <w:rStyle w:val="Hyperlink"/>
                <w:rFonts w:cstheme="minorHAnsi"/>
                <w:lang w:val="nl-NL"/>
              </w:rPr>
            </w:pPr>
          </w:p>
          <w:p w14:paraId="6296D300" w14:textId="77777777" w:rsidR="00D87CE4" w:rsidRPr="009775A6" w:rsidRDefault="00D87CE4" w:rsidP="00BC10F9">
            <w:pPr>
              <w:pStyle w:val="Geenafstand"/>
              <w:jc w:val="both"/>
              <w:rPr>
                <w:rStyle w:val="Hyperlink"/>
                <w:rFonts w:cstheme="minorHAnsi"/>
                <w:lang w:val="nl-NL"/>
              </w:rPr>
            </w:pPr>
            <w:r w:rsidRPr="009775A6">
              <w:rPr>
                <w:rStyle w:val="Hyperlink"/>
                <w:rFonts w:cstheme="minorHAnsi"/>
                <w:lang w:val="nl-NL"/>
              </w:rPr>
              <w:t>Alle rechten verbonden aan aandelen blijven geschorst zolang die aandelen of die certificaten niet zijn vervreemd.</w:t>
            </w:r>
          </w:p>
          <w:p w14:paraId="4F2983C3" w14:textId="77777777" w:rsidR="00D87CE4" w:rsidRPr="009775A6" w:rsidRDefault="00D87CE4" w:rsidP="00BC10F9">
            <w:pPr>
              <w:pStyle w:val="Geenafstand"/>
              <w:jc w:val="both"/>
              <w:rPr>
                <w:rStyle w:val="Hyperlink"/>
                <w:rFonts w:cstheme="minorHAnsi"/>
                <w:lang w:val="nl-NL"/>
              </w:rPr>
            </w:pPr>
          </w:p>
          <w:p w14:paraId="06B0A4BD" w14:textId="4FFB139F" w:rsidR="00D87CE4" w:rsidRPr="00B57892" w:rsidRDefault="00D87CE4" w:rsidP="00BC10F9">
            <w:pPr>
              <w:spacing w:after="0" w:line="240" w:lineRule="auto"/>
              <w:jc w:val="both"/>
              <w:rPr>
                <w:rFonts w:cstheme="minorHAnsi"/>
                <w:lang w:val="nl-BE"/>
              </w:rPr>
            </w:pPr>
            <w:r w:rsidRPr="009775A6">
              <w:rPr>
                <w:rStyle w:val="Hyperlink"/>
                <w:rFonts w:cstheme="minorHAnsi"/>
                <w:lang w:val="nl-NL"/>
              </w:rPr>
              <w:t>§ 2. Paragraaf 1 is niet van toepassing op de inschrijving op aandelen van een vennootschap door een dochtervennootschap die in haar hoedanigheid van professionele effectenhandelaar, een beursvennootschap of een kredietinstelling is.</w:t>
            </w:r>
            <w:r w:rsidR="009775A6">
              <w:rPr>
                <w:rFonts w:cstheme="minorHAnsi"/>
                <w:lang w:val="nl-NL"/>
              </w:rPr>
              <w:fldChar w:fldCharType="end"/>
            </w:r>
          </w:p>
        </w:tc>
        <w:tc>
          <w:tcPr>
            <w:tcW w:w="5812" w:type="dxa"/>
            <w:shd w:val="clear" w:color="auto" w:fill="auto"/>
          </w:tcPr>
          <w:p w14:paraId="41AC926B" w14:textId="4C47AF41" w:rsidR="00D87CE4" w:rsidRPr="009775A6" w:rsidRDefault="009775A6" w:rsidP="00BC10F9">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D87CE4" w:rsidRPr="009775A6">
              <w:rPr>
                <w:rStyle w:val="Hyperlink"/>
                <w:rFonts w:cstheme="minorHAnsi"/>
                <w:lang w:val="fr-BE"/>
              </w:rPr>
              <w:t>§ 1</w:t>
            </w:r>
            <w:r w:rsidR="00D87CE4" w:rsidRPr="009775A6">
              <w:rPr>
                <w:rStyle w:val="Hyperlink"/>
                <w:rFonts w:cstheme="minorHAnsi"/>
                <w:vertAlign w:val="superscript"/>
                <w:lang w:val="fr-BE"/>
              </w:rPr>
              <w:t>er</w:t>
            </w:r>
            <w:r w:rsidR="00D87CE4" w:rsidRPr="009775A6">
              <w:rPr>
                <w:rStyle w:val="Hyperlink"/>
                <w:rFonts w:cstheme="minorHAnsi"/>
                <w:lang w:val="fr-BE"/>
              </w:rPr>
              <w:t>. La société ne peut souscrire ses propres actions, ni directement, ni par une société filiale, ni par une personne agissant en son nom propre mais pour le compte de la société ou de la société filiale.</w:t>
            </w:r>
          </w:p>
          <w:p w14:paraId="1479EFB6" w14:textId="77777777" w:rsidR="00D87CE4" w:rsidRPr="009775A6" w:rsidRDefault="00D87CE4" w:rsidP="00BC10F9">
            <w:pPr>
              <w:pStyle w:val="Geenafstand"/>
              <w:jc w:val="both"/>
              <w:rPr>
                <w:rStyle w:val="Hyperlink"/>
                <w:rFonts w:cstheme="minorHAnsi"/>
                <w:lang w:val="fr-BE"/>
              </w:rPr>
            </w:pPr>
          </w:p>
          <w:p w14:paraId="24EDCE9E" w14:textId="77777777" w:rsidR="00D87CE4" w:rsidRPr="009775A6" w:rsidRDefault="00D87CE4" w:rsidP="00BC10F9">
            <w:pPr>
              <w:pStyle w:val="Geenafstand"/>
              <w:jc w:val="both"/>
              <w:rPr>
                <w:rStyle w:val="Hyperlink"/>
                <w:rFonts w:cstheme="minorHAnsi"/>
                <w:lang w:val="fr-BE"/>
              </w:rPr>
            </w:pPr>
            <w:r w:rsidRPr="009775A6">
              <w:rPr>
                <w:rStyle w:val="Hyperlink"/>
                <w:rFonts w:cstheme="minorHAnsi"/>
                <w:lang w:val="fr-BE"/>
              </w:rPr>
              <w:t>La personne qui a souscrit des actions visées à l'alinéa 1</w:t>
            </w:r>
            <w:r w:rsidRPr="009775A6">
              <w:rPr>
                <w:rStyle w:val="Hyperlink"/>
                <w:rFonts w:cstheme="minorHAnsi"/>
                <w:vertAlign w:val="superscript"/>
                <w:lang w:val="fr-BE"/>
              </w:rPr>
              <w:t>er</w:t>
            </w:r>
            <w:r w:rsidRPr="009775A6">
              <w:rPr>
                <w:rStyle w:val="Hyperlink"/>
                <w:rFonts w:cstheme="minorHAnsi"/>
                <w:lang w:val="fr-BE"/>
              </w:rPr>
              <w:t xml:space="preserve"> en son nom propre mais pour le compte de la société ou de la société filiale est censée avoir souscrit pour son propre compte.</w:t>
            </w:r>
          </w:p>
          <w:p w14:paraId="521C5166" w14:textId="77777777" w:rsidR="00D87CE4" w:rsidRPr="009775A6" w:rsidRDefault="00D87CE4" w:rsidP="00BC10F9">
            <w:pPr>
              <w:pStyle w:val="Geenafstand"/>
              <w:jc w:val="both"/>
              <w:rPr>
                <w:rStyle w:val="Hyperlink"/>
                <w:rFonts w:cstheme="minorHAnsi"/>
                <w:lang w:val="fr-BE"/>
              </w:rPr>
            </w:pPr>
          </w:p>
          <w:p w14:paraId="236B9344" w14:textId="77777777" w:rsidR="00D87CE4" w:rsidRPr="009775A6" w:rsidRDefault="00D87CE4" w:rsidP="00BC10F9">
            <w:pPr>
              <w:pStyle w:val="Geenafstand"/>
              <w:jc w:val="both"/>
              <w:rPr>
                <w:rStyle w:val="Hyperlink"/>
                <w:rFonts w:cstheme="minorHAnsi"/>
                <w:lang w:val="fr-BE"/>
              </w:rPr>
            </w:pPr>
            <w:r w:rsidRPr="009775A6">
              <w:rPr>
                <w:rStyle w:val="Hyperlink"/>
                <w:rFonts w:cstheme="minorHAnsi"/>
                <w:lang w:val="fr-BE"/>
              </w:rPr>
              <w:t>Tous les droits afférents aux actions sont suspendus, tant que ces actions n’ont pas été aliénés.</w:t>
            </w:r>
          </w:p>
          <w:p w14:paraId="70FD700A" w14:textId="77777777" w:rsidR="00D87CE4" w:rsidRPr="009775A6" w:rsidRDefault="00D87CE4" w:rsidP="00BC10F9">
            <w:pPr>
              <w:pStyle w:val="Geenafstand"/>
              <w:jc w:val="both"/>
              <w:rPr>
                <w:rStyle w:val="Hyperlink"/>
                <w:rFonts w:cstheme="minorHAnsi"/>
                <w:lang w:val="fr-BE"/>
              </w:rPr>
            </w:pPr>
          </w:p>
          <w:p w14:paraId="45C035C1" w14:textId="7B5FE48D" w:rsidR="00D87CE4" w:rsidRPr="0094661D" w:rsidRDefault="00D87CE4" w:rsidP="00BC10F9">
            <w:pPr>
              <w:pStyle w:val="Geenafstand"/>
              <w:jc w:val="both"/>
              <w:rPr>
                <w:rFonts w:cstheme="minorHAnsi"/>
                <w:lang w:val="fr-BE"/>
              </w:rPr>
            </w:pPr>
            <w:r w:rsidRPr="009775A6">
              <w:rPr>
                <w:rStyle w:val="Hyperlink"/>
                <w:rFonts w:cstheme="minorHAnsi"/>
                <w:lang w:val="fr-BE"/>
              </w:rPr>
              <w:t>§ 2. Le paragraphe 1</w:t>
            </w:r>
            <w:r w:rsidRPr="009775A6">
              <w:rPr>
                <w:rStyle w:val="Hyperlink"/>
                <w:rFonts w:cstheme="minorHAnsi"/>
                <w:vertAlign w:val="superscript"/>
                <w:lang w:val="fr-BE"/>
              </w:rPr>
              <w:t>er</w:t>
            </w:r>
            <w:r w:rsidRPr="009775A6">
              <w:rPr>
                <w:rStyle w:val="Hyperlink"/>
                <w:rFonts w:cstheme="minorHAnsi"/>
                <w:lang w:val="fr-BE"/>
              </w:rPr>
              <w:t xml:space="preserve"> n’est pas applicable à la souscription d‘actions d’une société par une société filiale qui est, en sa qualité d’opérateur professionnel sur titres, une société de bourse ou un établissement de crédit.</w:t>
            </w:r>
            <w:r w:rsidR="009775A6">
              <w:rPr>
                <w:rFonts w:cstheme="minorHAnsi"/>
                <w:lang w:val="fr-BE"/>
              </w:rPr>
              <w:fldChar w:fldCharType="end"/>
            </w:r>
            <w:bookmarkStart w:id="0" w:name="_GoBack"/>
            <w:bookmarkEnd w:id="0"/>
          </w:p>
        </w:tc>
      </w:tr>
      <w:tr w:rsidR="005D192B" w:rsidRPr="00BC10F9" w14:paraId="7C567F39" w14:textId="77777777" w:rsidTr="005D192B">
        <w:trPr>
          <w:trHeight w:val="367"/>
        </w:trPr>
        <w:tc>
          <w:tcPr>
            <w:tcW w:w="2122" w:type="dxa"/>
          </w:tcPr>
          <w:p w14:paraId="7270B32B" w14:textId="3727CCE9" w:rsidR="005D192B" w:rsidRDefault="005D192B" w:rsidP="00BC10F9">
            <w:pPr>
              <w:spacing w:after="0" w:line="240" w:lineRule="auto"/>
              <w:jc w:val="both"/>
              <w:rPr>
                <w:rFonts w:cs="Calibri"/>
                <w:lang w:val="nl-BE"/>
              </w:rPr>
            </w:pPr>
            <w:proofErr w:type="spellStart"/>
            <w:r w:rsidRPr="00E50208">
              <w:t>Ontwerp</w:t>
            </w:r>
            <w:proofErr w:type="spellEnd"/>
          </w:p>
        </w:tc>
        <w:tc>
          <w:tcPr>
            <w:tcW w:w="5811" w:type="dxa"/>
            <w:shd w:val="clear" w:color="auto" w:fill="auto"/>
          </w:tcPr>
          <w:p w14:paraId="68967BE5" w14:textId="0CECE223" w:rsidR="005D192B" w:rsidRPr="00D41C14" w:rsidRDefault="005D192B" w:rsidP="00BC10F9">
            <w:pPr>
              <w:spacing w:after="0" w:line="240" w:lineRule="auto"/>
              <w:jc w:val="both"/>
              <w:rPr>
                <w:rFonts w:cstheme="minorHAnsi"/>
                <w:lang w:val="nl-NL"/>
              </w:rPr>
            </w:pPr>
            <w:proofErr w:type="spellStart"/>
            <w:r w:rsidRPr="00E50208">
              <w:t>Geen</w:t>
            </w:r>
            <w:proofErr w:type="spellEnd"/>
            <w:r w:rsidRPr="00E50208">
              <w:t xml:space="preserve"> </w:t>
            </w:r>
            <w:proofErr w:type="spellStart"/>
            <w:r w:rsidRPr="00E50208">
              <w:t>artikel</w:t>
            </w:r>
            <w:proofErr w:type="spellEnd"/>
            <w:r>
              <w:t>.</w:t>
            </w:r>
          </w:p>
        </w:tc>
        <w:tc>
          <w:tcPr>
            <w:tcW w:w="5812" w:type="dxa"/>
            <w:shd w:val="clear" w:color="auto" w:fill="auto"/>
          </w:tcPr>
          <w:p w14:paraId="701BFA19" w14:textId="76AC03DF" w:rsidR="005D192B" w:rsidRPr="00D41C14" w:rsidRDefault="005D192B" w:rsidP="00BC10F9">
            <w:pPr>
              <w:spacing w:after="0" w:line="240" w:lineRule="auto"/>
              <w:jc w:val="both"/>
              <w:rPr>
                <w:rFonts w:cstheme="minorHAnsi"/>
                <w:lang w:val="fr-BE"/>
              </w:rPr>
            </w:pPr>
            <w:r>
              <w:t xml:space="preserve">Pas </w:t>
            </w:r>
            <w:proofErr w:type="spellStart"/>
            <w:r>
              <w:t>d’article</w:t>
            </w:r>
            <w:proofErr w:type="spellEnd"/>
            <w:r>
              <w:t>.</w:t>
            </w:r>
          </w:p>
        </w:tc>
      </w:tr>
      <w:tr w:rsidR="005D192B" w:rsidRPr="008D79BC" w14:paraId="2E3A8E40" w14:textId="77777777" w:rsidTr="005D192B">
        <w:trPr>
          <w:trHeight w:val="325"/>
        </w:trPr>
        <w:tc>
          <w:tcPr>
            <w:tcW w:w="2122" w:type="dxa"/>
          </w:tcPr>
          <w:p w14:paraId="63758700" w14:textId="77777777" w:rsidR="005D192B" w:rsidRPr="008D79BC" w:rsidRDefault="005D192B" w:rsidP="00BC10F9">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2EC8EEBB" w14:textId="77777777" w:rsidR="005D192B" w:rsidRPr="008D79BC" w:rsidRDefault="005D192B" w:rsidP="00BC10F9">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6D7B4CB4" w14:textId="77777777" w:rsidR="005D192B" w:rsidRPr="00D41C14" w:rsidRDefault="005D192B" w:rsidP="00BC10F9">
            <w:pPr>
              <w:spacing w:after="0" w:line="240" w:lineRule="auto"/>
              <w:jc w:val="both"/>
              <w:rPr>
                <w:rFonts w:cstheme="minorHAnsi"/>
                <w:lang w:val="fr-BE"/>
              </w:rPr>
            </w:pPr>
            <w:r>
              <w:rPr>
                <w:rFonts w:cstheme="minorHAnsi"/>
                <w:lang w:val="fr-BE"/>
              </w:rPr>
              <w:t>Pas d’article.</w:t>
            </w:r>
          </w:p>
        </w:tc>
      </w:tr>
      <w:tr w:rsidR="005D192B" w:rsidRPr="008D79BC" w14:paraId="5072CDC1" w14:textId="77777777" w:rsidTr="00BC10F9">
        <w:trPr>
          <w:trHeight w:val="421"/>
        </w:trPr>
        <w:tc>
          <w:tcPr>
            <w:tcW w:w="2122" w:type="dxa"/>
          </w:tcPr>
          <w:p w14:paraId="443F4D43" w14:textId="77777777" w:rsidR="005D192B" w:rsidRPr="00E50208" w:rsidRDefault="005D192B" w:rsidP="00BC10F9">
            <w:pPr>
              <w:spacing w:after="0"/>
            </w:pPr>
            <w:proofErr w:type="spellStart"/>
            <w:r>
              <w:t>MvT</w:t>
            </w:r>
            <w:proofErr w:type="spellEnd"/>
          </w:p>
        </w:tc>
        <w:tc>
          <w:tcPr>
            <w:tcW w:w="5811" w:type="dxa"/>
            <w:shd w:val="clear" w:color="auto" w:fill="auto"/>
          </w:tcPr>
          <w:p w14:paraId="4B83D7DC" w14:textId="77777777" w:rsidR="005D192B" w:rsidRPr="00116B0F" w:rsidRDefault="005D192B" w:rsidP="00BC10F9">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1BFCE891" w14:textId="77777777" w:rsidR="005D192B" w:rsidRDefault="005D192B" w:rsidP="00BC10F9">
            <w:pPr>
              <w:spacing w:after="0"/>
            </w:pPr>
            <w:r>
              <w:t xml:space="preserve">Pas de </w:t>
            </w:r>
            <w:proofErr w:type="spellStart"/>
            <w:r>
              <w:t>remarques</w:t>
            </w:r>
            <w:proofErr w:type="spellEnd"/>
            <w:r>
              <w:t>.</w:t>
            </w:r>
          </w:p>
        </w:tc>
      </w:tr>
      <w:tr w:rsidR="005D192B" w:rsidRPr="008D79BC" w14:paraId="1D8DB6C6" w14:textId="77777777" w:rsidTr="00BC10F9">
        <w:trPr>
          <w:trHeight w:val="413"/>
        </w:trPr>
        <w:tc>
          <w:tcPr>
            <w:tcW w:w="2122" w:type="dxa"/>
          </w:tcPr>
          <w:p w14:paraId="5F4C3F1A" w14:textId="77777777" w:rsidR="005D192B" w:rsidRPr="00E50208" w:rsidRDefault="005D192B" w:rsidP="00BC10F9">
            <w:pPr>
              <w:spacing w:after="0"/>
            </w:pPr>
            <w:proofErr w:type="spellStart"/>
            <w:r>
              <w:t>RvSt</w:t>
            </w:r>
            <w:proofErr w:type="spellEnd"/>
          </w:p>
        </w:tc>
        <w:tc>
          <w:tcPr>
            <w:tcW w:w="5811" w:type="dxa"/>
            <w:shd w:val="clear" w:color="auto" w:fill="auto"/>
          </w:tcPr>
          <w:p w14:paraId="0B1DA80F" w14:textId="77777777" w:rsidR="005D192B" w:rsidRPr="00116B0F" w:rsidRDefault="005D192B" w:rsidP="00BC10F9">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0BC4F23D" w14:textId="77777777" w:rsidR="005D192B" w:rsidRDefault="005D192B" w:rsidP="00BC10F9">
            <w:pPr>
              <w:spacing w:after="0"/>
            </w:pPr>
            <w:r>
              <w:t xml:space="preserve">Pas de </w:t>
            </w:r>
            <w:proofErr w:type="spellStart"/>
            <w:r>
              <w:t>remarques</w:t>
            </w:r>
            <w:proofErr w:type="spellEnd"/>
            <w:r>
              <w:t>.</w:t>
            </w:r>
          </w:p>
        </w:tc>
      </w:tr>
      <w:tr w:rsidR="00823FF8" w:rsidRPr="00681D31" w14:paraId="41713BB4" w14:textId="77777777" w:rsidTr="00BC10F9">
        <w:trPr>
          <w:trHeight w:val="413"/>
        </w:trPr>
        <w:tc>
          <w:tcPr>
            <w:tcW w:w="2122" w:type="dxa"/>
          </w:tcPr>
          <w:p w14:paraId="228EBA26" w14:textId="300C51D1" w:rsidR="00823FF8" w:rsidRDefault="00823FF8" w:rsidP="009775A6">
            <w:pPr>
              <w:pStyle w:val="Kop1"/>
            </w:pPr>
            <w:bookmarkStart w:id="1" w:name="_Amendement_542"/>
            <w:bookmarkStart w:id="2" w:name="_Amendement_542_1"/>
            <w:bookmarkEnd w:id="1"/>
            <w:bookmarkEnd w:id="2"/>
            <w:proofErr w:type="spellStart"/>
            <w:r>
              <w:lastRenderedPageBreak/>
              <w:t>Amendement</w:t>
            </w:r>
            <w:proofErr w:type="spellEnd"/>
            <w:r>
              <w:t xml:space="preserve"> 542</w:t>
            </w:r>
          </w:p>
        </w:tc>
        <w:tc>
          <w:tcPr>
            <w:tcW w:w="5811" w:type="dxa"/>
            <w:shd w:val="clear" w:color="auto" w:fill="auto"/>
          </w:tcPr>
          <w:p w14:paraId="58881B65" w14:textId="282F1ECB" w:rsidR="00823FF8" w:rsidRPr="00681D31" w:rsidRDefault="00681D31" w:rsidP="00BC10F9">
            <w:pPr>
              <w:spacing w:after="0"/>
              <w:rPr>
                <w:lang w:val="nl-NL"/>
              </w:rPr>
            </w:pPr>
            <w:r w:rsidRPr="00681D31">
              <w:rPr>
                <w:lang w:val="nl-NL"/>
              </w:rPr>
              <w:t xml:space="preserve">De tekst is een overeenkomstige herneming van artikel 5:124. </w:t>
            </w:r>
          </w:p>
        </w:tc>
        <w:tc>
          <w:tcPr>
            <w:tcW w:w="5812" w:type="dxa"/>
            <w:shd w:val="clear" w:color="auto" w:fill="auto"/>
          </w:tcPr>
          <w:p w14:paraId="788FD87D" w14:textId="06580D74" w:rsidR="00823FF8" w:rsidRPr="009775A6" w:rsidRDefault="00681D31" w:rsidP="009775A6">
            <w:pPr>
              <w:spacing w:after="0"/>
              <w:jc w:val="both"/>
              <w:rPr>
                <w:lang w:val="fr-FR"/>
              </w:rPr>
            </w:pPr>
            <w:r w:rsidRPr="009775A6">
              <w:rPr>
                <w:lang w:val="fr-FR"/>
              </w:rPr>
              <w:t xml:space="preserve">Le texte est une reprise conforme de l’article </w:t>
            </w:r>
            <w:proofErr w:type="gramStart"/>
            <w:r w:rsidRPr="009775A6">
              <w:rPr>
                <w:lang w:val="fr-FR"/>
              </w:rPr>
              <w:t>5:</w:t>
            </w:r>
            <w:proofErr w:type="gramEnd"/>
            <w:r w:rsidRPr="009775A6">
              <w:rPr>
                <w:lang w:val="fr-FR"/>
              </w:rPr>
              <w:t xml:space="preserve">124. </w:t>
            </w:r>
          </w:p>
        </w:tc>
      </w:tr>
    </w:tbl>
    <w:p w14:paraId="60A98EA3"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7F4DF" w14:textId="77777777" w:rsidR="001B0053" w:rsidRDefault="001B0053" w:rsidP="000D42B6">
      <w:pPr>
        <w:spacing w:after="0" w:line="240" w:lineRule="auto"/>
      </w:pPr>
      <w:r>
        <w:separator/>
      </w:r>
    </w:p>
  </w:endnote>
  <w:endnote w:type="continuationSeparator" w:id="0">
    <w:p w14:paraId="1200F8E7" w14:textId="77777777" w:rsidR="001B0053" w:rsidRDefault="001B005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F2223" w14:textId="77777777" w:rsidR="001B0053" w:rsidRDefault="001B0053" w:rsidP="000D42B6">
      <w:pPr>
        <w:spacing w:after="0" w:line="240" w:lineRule="auto"/>
      </w:pPr>
      <w:r>
        <w:separator/>
      </w:r>
    </w:p>
  </w:footnote>
  <w:footnote w:type="continuationSeparator" w:id="0">
    <w:p w14:paraId="45F0CDB0" w14:textId="77777777" w:rsidR="001B0053" w:rsidRDefault="001B005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6E5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841E6"/>
    <w:rsid w:val="000923F2"/>
    <w:rsid w:val="000B434D"/>
    <w:rsid w:val="000D42B6"/>
    <w:rsid w:val="00101EDC"/>
    <w:rsid w:val="00153A4F"/>
    <w:rsid w:val="001777AA"/>
    <w:rsid w:val="00183242"/>
    <w:rsid w:val="001A0A02"/>
    <w:rsid w:val="001B0053"/>
    <w:rsid w:val="001C4D4C"/>
    <w:rsid w:val="001F3D08"/>
    <w:rsid w:val="001F6206"/>
    <w:rsid w:val="001F70DD"/>
    <w:rsid w:val="00200CB2"/>
    <w:rsid w:val="00202051"/>
    <w:rsid w:val="00266AFF"/>
    <w:rsid w:val="00272BA1"/>
    <w:rsid w:val="002A7546"/>
    <w:rsid w:val="002B16AC"/>
    <w:rsid w:val="002E07F4"/>
    <w:rsid w:val="002E2C50"/>
    <w:rsid w:val="002F3F41"/>
    <w:rsid w:val="00300269"/>
    <w:rsid w:val="00311F1A"/>
    <w:rsid w:val="00322343"/>
    <w:rsid w:val="00334E3C"/>
    <w:rsid w:val="00361C46"/>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4C7924"/>
    <w:rsid w:val="00503582"/>
    <w:rsid w:val="00512C24"/>
    <w:rsid w:val="0052140A"/>
    <w:rsid w:val="005407B7"/>
    <w:rsid w:val="0054297A"/>
    <w:rsid w:val="00552278"/>
    <w:rsid w:val="00560C08"/>
    <w:rsid w:val="0056512F"/>
    <w:rsid w:val="0057031D"/>
    <w:rsid w:val="005974AD"/>
    <w:rsid w:val="005A0621"/>
    <w:rsid w:val="005B33B1"/>
    <w:rsid w:val="005D192B"/>
    <w:rsid w:val="005E4B0B"/>
    <w:rsid w:val="006170A4"/>
    <w:rsid w:val="00630590"/>
    <w:rsid w:val="00642F57"/>
    <w:rsid w:val="00665133"/>
    <w:rsid w:val="00681D31"/>
    <w:rsid w:val="006F2B94"/>
    <w:rsid w:val="007061E6"/>
    <w:rsid w:val="007316C7"/>
    <w:rsid w:val="0078377D"/>
    <w:rsid w:val="007A6A5E"/>
    <w:rsid w:val="007A7077"/>
    <w:rsid w:val="007B29A3"/>
    <w:rsid w:val="007D091B"/>
    <w:rsid w:val="007D19C2"/>
    <w:rsid w:val="008145E3"/>
    <w:rsid w:val="00823FF8"/>
    <w:rsid w:val="00860E15"/>
    <w:rsid w:val="00871559"/>
    <w:rsid w:val="008849AC"/>
    <w:rsid w:val="008A299A"/>
    <w:rsid w:val="008B2F1F"/>
    <w:rsid w:val="008D169B"/>
    <w:rsid w:val="008D79BC"/>
    <w:rsid w:val="00916F5F"/>
    <w:rsid w:val="00950791"/>
    <w:rsid w:val="00950DFB"/>
    <w:rsid w:val="009662AF"/>
    <w:rsid w:val="009775A6"/>
    <w:rsid w:val="00985EF6"/>
    <w:rsid w:val="009943DD"/>
    <w:rsid w:val="0099503B"/>
    <w:rsid w:val="009A33B9"/>
    <w:rsid w:val="009D1831"/>
    <w:rsid w:val="00A362F8"/>
    <w:rsid w:val="00A41BE3"/>
    <w:rsid w:val="00A46D88"/>
    <w:rsid w:val="00A5511C"/>
    <w:rsid w:val="00A667FE"/>
    <w:rsid w:val="00A97687"/>
    <w:rsid w:val="00AE3CA5"/>
    <w:rsid w:val="00AE5EE8"/>
    <w:rsid w:val="00B0539A"/>
    <w:rsid w:val="00B2273C"/>
    <w:rsid w:val="00B53841"/>
    <w:rsid w:val="00BB0F3C"/>
    <w:rsid w:val="00BB4222"/>
    <w:rsid w:val="00BC10F9"/>
    <w:rsid w:val="00BC15E6"/>
    <w:rsid w:val="00C23A95"/>
    <w:rsid w:val="00C43011"/>
    <w:rsid w:val="00C64210"/>
    <w:rsid w:val="00CC1091"/>
    <w:rsid w:val="00CE1421"/>
    <w:rsid w:val="00D40D5C"/>
    <w:rsid w:val="00D61286"/>
    <w:rsid w:val="00D7184E"/>
    <w:rsid w:val="00D80E35"/>
    <w:rsid w:val="00D87CE4"/>
    <w:rsid w:val="00D9012C"/>
    <w:rsid w:val="00D916A1"/>
    <w:rsid w:val="00D96633"/>
    <w:rsid w:val="00DC54F2"/>
    <w:rsid w:val="00DD796A"/>
    <w:rsid w:val="00E17723"/>
    <w:rsid w:val="00E51E36"/>
    <w:rsid w:val="00E5733A"/>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327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775A6"/>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E5733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9775A6"/>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77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90AD-8F99-CF4C-BA73-91CF985D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1959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124</cp:revision>
  <dcterms:created xsi:type="dcterms:W3CDTF">2019-10-18T10:25:00Z</dcterms:created>
  <dcterms:modified xsi:type="dcterms:W3CDTF">2021-10-06T08:13:00Z</dcterms:modified>
</cp:coreProperties>
</file>