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0D42B6" w:rsidRPr="002A763A" w14:paraId="12907B7F" w14:textId="77777777" w:rsidTr="00450F84">
        <w:tc>
          <w:tcPr>
            <w:tcW w:w="13178" w:type="dxa"/>
            <w:gridSpan w:val="3"/>
          </w:tcPr>
          <w:p w14:paraId="03D910E1" w14:textId="77777777" w:rsidR="000D42B6" w:rsidRPr="00B07AC9" w:rsidRDefault="00450F84" w:rsidP="005A0621">
            <w:pPr>
              <w:rPr>
                <w:b/>
                <w:sz w:val="32"/>
                <w:szCs w:val="32"/>
                <w:lang w:val="nl-BE"/>
              </w:rPr>
            </w:pPr>
            <w:r w:rsidRPr="00450F84">
              <w:rPr>
                <w:b/>
                <w:sz w:val="32"/>
                <w:szCs w:val="32"/>
                <w:lang w:val="nl-BE"/>
              </w:rPr>
              <w:t>HOOFDSTUK 3. - Uitsluiting.</w:t>
            </w:r>
          </w:p>
        </w:tc>
        <w:tc>
          <w:tcPr>
            <w:tcW w:w="567" w:type="dxa"/>
            <w:shd w:val="clear" w:color="auto" w:fill="auto"/>
          </w:tcPr>
          <w:p w14:paraId="39692A81" w14:textId="77777777" w:rsidR="000D42B6" w:rsidRPr="005F7AD1" w:rsidRDefault="000D42B6" w:rsidP="005F7AD1">
            <w:pPr>
              <w:pStyle w:val="Geenafstand"/>
              <w:jc w:val="both"/>
              <w:rPr>
                <w:rFonts w:cstheme="minorHAnsi"/>
                <w:szCs w:val="20"/>
                <w:lang w:val="fr-FR"/>
              </w:rPr>
            </w:pPr>
          </w:p>
        </w:tc>
      </w:tr>
      <w:tr w:rsidR="008748BF" w:rsidRPr="004C0180" w14:paraId="6875D532" w14:textId="77777777" w:rsidTr="00814B75">
        <w:trPr>
          <w:trHeight w:val="1667"/>
        </w:trPr>
        <w:tc>
          <w:tcPr>
            <w:tcW w:w="13178" w:type="dxa"/>
            <w:gridSpan w:val="3"/>
          </w:tcPr>
          <w:p w14:paraId="0B80D6AE" w14:textId="77777777" w:rsidR="008748BF" w:rsidRDefault="008748BF" w:rsidP="008748B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8B88835" w14:textId="77777777" w:rsidR="008748BF" w:rsidRDefault="008748BF" w:rsidP="008748BF">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A4E3F89" w14:textId="77777777" w:rsidR="008748BF" w:rsidRDefault="008748BF" w:rsidP="008748BF">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p w14:paraId="1180403F" w14:textId="77777777" w:rsidR="008748BF" w:rsidRPr="008748BF" w:rsidRDefault="008748BF" w:rsidP="005A0621">
            <w:pPr>
              <w:rPr>
                <w:b/>
                <w:sz w:val="32"/>
                <w:szCs w:val="32"/>
                <w:lang w:val="nl-NL"/>
              </w:rPr>
            </w:pPr>
          </w:p>
        </w:tc>
        <w:tc>
          <w:tcPr>
            <w:tcW w:w="567" w:type="dxa"/>
            <w:shd w:val="clear" w:color="auto" w:fill="auto"/>
          </w:tcPr>
          <w:p w14:paraId="002D6484" w14:textId="77777777" w:rsidR="008748BF" w:rsidRPr="005F7AD1" w:rsidRDefault="008748BF" w:rsidP="005F7AD1">
            <w:pPr>
              <w:pStyle w:val="Geenafstand"/>
              <w:jc w:val="both"/>
              <w:rPr>
                <w:rFonts w:cstheme="minorHAnsi"/>
                <w:szCs w:val="20"/>
                <w:lang w:val="fr-FR"/>
              </w:rPr>
            </w:pPr>
          </w:p>
        </w:tc>
      </w:tr>
      <w:tr w:rsidR="005B33B1" w:rsidRPr="002A763A" w14:paraId="3A552C51" w14:textId="77777777" w:rsidTr="00E17723">
        <w:tc>
          <w:tcPr>
            <w:tcW w:w="1980" w:type="dxa"/>
          </w:tcPr>
          <w:p w14:paraId="4BDE6870" w14:textId="77777777" w:rsidR="005B33B1" w:rsidRPr="00B07AC9" w:rsidRDefault="005F7AD1" w:rsidP="000D42B6">
            <w:pPr>
              <w:rPr>
                <w:b/>
                <w:sz w:val="32"/>
                <w:szCs w:val="32"/>
                <w:lang w:val="nl-BE"/>
              </w:rPr>
            </w:pPr>
            <w:r w:rsidRPr="005F7AD1">
              <w:rPr>
                <w:b/>
                <w:sz w:val="32"/>
                <w:szCs w:val="32"/>
                <w:lang w:val="nl-BE"/>
              </w:rPr>
              <w:t>ARTIKEL 6:11</w:t>
            </w:r>
          </w:p>
        </w:tc>
        <w:tc>
          <w:tcPr>
            <w:tcW w:w="11765" w:type="dxa"/>
            <w:gridSpan w:val="3"/>
            <w:shd w:val="clear" w:color="auto" w:fill="auto"/>
          </w:tcPr>
          <w:p w14:paraId="2E597E75"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450F84" w:rsidRPr="002A763A" w14:paraId="10B06038" w14:textId="77777777" w:rsidTr="00E17723">
        <w:tc>
          <w:tcPr>
            <w:tcW w:w="1980" w:type="dxa"/>
          </w:tcPr>
          <w:p w14:paraId="7091E2C9" w14:textId="77777777" w:rsidR="00450F84" w:rsidRPr="005F7AD1" w:rsidRDefault="00450F84" w:rsidP="000D42B6">
            <w:pPr>
              <w:rPr>
                <w:b/>
                <w:sz w:val="32"/>
                <w:szCs w:val="32"/>
                <w:lang w:val="nl-BE"/>
              </w:rPr>
            </w:pPr>
          </w:p>
        </w:tc>
        <w:tc>
          <w:tcPr>
            <w:tcW w:w="11765" w:type="dxa"/>
            <w:gridSpan w:val="3"/>
            <w:shd w:val="clear" w:color="auto" w:fill="auto"/>
          </w:tcPr>
          <w:p w14:paraId="27B61E2D" w14:textId="77777777" w:rsidR="00450F84" w:rsidRPr="00382324" w:rsidRDefault="00450F84" w:rsidP="000D42B6">
            <w:pPr>
              <w:rPr>
                <w:rFonts w:asciiTheme="majorHAnsi" w:eastAsiaTheme="majorEastAsia" w:hAnsiTheme="majorHAnsi" w:cstheme="majorBidi"/>
                <w:b/>
                <w:bCs/>
                <w:color w:val="2E74B5" w:themeColor="accent1" w:themeShade="BF"/>
                <w:sz w:val="32"/>
                <w:szCs w:val="28"/>
                <w:lang w:val="nl-BE"/>
              </w:rPr>
            </w:pPr>
          </w:p>
        </w:tc>
      </w:tr>
      <w:tr w:rsidR="005A0621" w:rsidRPr="00A474F6" w14:paraId="49F6F6BE" w14:textId="77777777" w:rsidTr="0086416F">
        <w:trPr>
          <w:trHeight w:val="803"/>
        </w:trPr>
        <w:tc>
          <w:tcPr>
            <w:tcW w:w="1980" w:type="dxa"/>
          </w:tcPr>
          <w:p w14:paraId="5967FCD7" w14:textId="77777777" w:rsidR="005A0621" w:rsidRDefault="005A0621" w:rsidP="005A0621">
            <w:pPr>
              <w:spacing w:after="0" w:line="240" w:lineRule="auto"/>
              <w:jc w:val="both"/>
              <w:rPr>
                <w:rFonts w:cs="Calibri"/>
                <w:lang w:val="nl-BE"/>
              </w:rPr>
            </w:pPr>
            <w:r>
              <w:rPr>
                <w:rFonts w:cs="Calibri"/>
                <w:lang w:val="nl-BE"/>
              </w:rPr>
              <w:t>WVV</w:t>
            </w:r>
          </w:p>
        </w:tc>
        <w:tc>
          <w:tcPr>
            <w:tcW w:w="5812" w:type="dxa"/>
            <w:shd w:val="clear" w:color="auto" w:fill="auto"/>
          </w:tcPr>
          <w:p w14:paraId="64B3CD9D" w14:textId="575D34DE" w:rsidR="0063297F" w:rsidRPr="006D1FB8" w:rsidRDefault="006D1FB8" w:rsidP="0063297F">
            <w:pPr>
              <w:spacing w:line="240" w:lineRule="auto"/>
              <w:jc w:val="both"/>
              <w:rPr>
                <w:rStyle w:val="Hyperlink"/>
                <w:bCs/>
                <w:lang w:val="nl-NL"/>
              </w:rPr>
            </w:pPr>
            <w:r>
              <w:rPr>
                <w:bCs/>
                <w:lang w:val="nl-NL"/>
              </w:rPr>
              <w:fldChar w:fldCharType="begin"/>
            </w:r>
            <w:r>
              <w:rPr>
                <w:bCs/>
                <w:lang w:val="nl-NL"/>
              </w:rPr>
              <w:instrText xml:space="preserve"> HYPERLINK  \l "_Amendement_542" </w:instrText>
            </w:r>
            <w:r>
              <w:rPr>
                <w:bCs/>
                <w:lang w:val="nl-NL"/>
              </w:rPr>
            </w:r>
            <w:r>
              <w:rPr>
                <w:bCs/>
                <w:lang w:val="nl-NL"/>
              </w:rPr>
              <w:fldChar w:fldCharType="separate"/>
            </w:r>
            <w:r w:rsidR="0063297F" w:rsidRPr="006D1FB8">
              <w:rPr>
                <w:rStyle w:val="Hyperlink"/>
                <w:bCs/>
                <w:lang w:val="nl-NL"/>
              </w:rPr>
              <w:t xml:space="preserve">In geval van overlijden, onbekwaamheid of enige andere vreemde oorzaak waardoor de schuldenaar van een inbreng in nijverheid definitief in de onmogelijkheid verkeert om zijn verbintenissen na te komen, komen de aandelen die hem zijn uitgereikt tegen zijn inbreng te vervallen. Zij geven dan enkel </w:t>
            </w:r>
            <w:proofErr w:type="spellStart"/>
            <w:r w:rsidR="0063297F" w:rsidRPr="006D1FB8">
              <w:rPr>
                <w:rStyle w:val="Hyperlink"/>
                <w:bCs/>
                <w:lang w:val="nl-NL"/>
              </w:rPr>
              <w:t>prorata</w:t>
            </w:r>
            <w:proofErr w:type="spellEnd"/>
            <w:r w:rsidR="0063297F" w:rsidRPr="006D1FB8">
              <w:rPr>
                <w:rStyle w:val="Hyperlink"/>
                <w:bCs/>
                <w:lang w:val="nl-NL"/>
              </w:rPr>
              <w:t xml:space="preserve"> </w:t>
            </w:r>
            <w:proofErr w:type="spellStart"/>
            <w:r w:rsidR="0063297F" w:rsidRPr="006D1FB8">
              <w:rPr>
                <w:rStyle w:val="Hyperlink"/>
                <w:bCs/>
                <w:lang w:val="nl-NL"/>
              </w:rPr>
              <w:t>temporis</w:t>
            </w:r>
            <w:proofErr w:type="spellEnd"/>
            <w:r w:rsidR="0063297F" w:rsidRPr="006D1FB8">
              <w:rPr>
                <w:rStyle w:val="Hyperlink"/>
                <w:bCs/>
                <w:lang w:val="nl-NL"/>
              </w:rPr>
              <w:t xml:space="preserve"> recht op een eventueel dividend met betrekking tot het lopende boekjaar.</w:t>
            </w:r>
            <w:r w:rsidR="0063297F" w:rsidRPr="006D1FB8">
              <w:rPr>
                <w:rStyle w:val="Hyperlink"/>
                <w:bCs/>
                <w:lang w:val="nl-NL"/>
              </w:rPr>
              <w:br/>
              <w:t>  </w:t>
            </w:r>
          </w:p>
          <w:p w14:paraId="23F8AC35" w14:textId="77777777" w:rsidR="0063297F" w:rsidRPr="006D1FB8" w:rsidRDefault="0063297F" w:rsidP="0063297F">
            <w:pPr>
              <w:spacing w:line="240" w:lineRule="auto"/>
              <w:jc w:val="both"/>
              <w:rPr>
                <w:rStyle w:val="Hyperlink"/>
                <w:bCs/>
                <w:lang w:val="nl-NL"/>
              </w:rPr>
            </w:pPr>
            <w:r w:rsidRPr="006D1FB8">
              <w:rPr>
                <w:rStyle w:val="Hyperlink"/>
                <w:bCs/>
                <w:lang w:val="nl-NL"/>
              </w:rPr>
              <w:t>Wanneer de schuldenaar van een inbreng in nijverheid wegens een vreemde oorzaak tijdelijk in de onmogelijkheid verkeert om zijn verbintenissen na te komen gedurende een periode van meer dan drie maanden, worden de maatschappelijke rechten die zijn verbonden aan de aandelen die hem zijn uitgereikt tegen zijn inbreng opgeschort voor de hele duur van die onmogelijkheid die deze periode van drie maanden overstijgt.</w:t>
            </w:r>
            <w:r w:rsidRPr="006D1FB8">
              <w:rPr>
                <w:rStyle w:val="Hyperlink"/>
                <w:bCs/>
                <w:lang w:val="nl-NL"/>
              </w:rPr>
              <w:br/>
              <w:t>  </w:t>
            </w:r>
          </w:p>
          <w:p w14:paraId="321A1D27" w14:textId="5EA800F5" w:rsidR="005A0621" w:rsidRPr="0063297F" w:rsidRDefault="0063297F" w:rsidP="0063297F">
            <w:pPr>
              <w:spacing w:line="240" w:lineRule="auto"/>
              <w:jc w:val="both"/>
              <w:rPr>
                <w:lang w:val="nl-NL"/>
              </w:rPr>
            </w:pPr>
            <w:r w:rsidRPr="006D1FB8">
              <w:rPr>
                <w:rStyle w:val="Hyperlink"/>
                <w:bCs/>
                <w:lang w:val="nl-NL"/>
              </w:rPr>
              <w:t>De statuten kunnen afwijken van dit artikel.</w:t>
            </w:r>
            <w:r w:rsidR="006D1FB8">
              <w:rPr>
                <w:bCs/>
                <w:lang w:val="nl-NL"/>
              </w:rPr>
              <w:fldChar w:fldCharType="end"/>
            </w:r>
          </w:p>
        </w:tc>
        <w:tc>
          <w:tcPr>
            <w:tcW w:w="5953" w:type="dxa"/>
            <w:gridSpan w:val="2"/>
            <w:shd w:val="clear" w:color="auto" w:fill="auto"/>
          </w:tcPr>
          <w:p w14:paraId="13D7A189" w14:textId="52366F19" w:rsidR="00EE11E4" w:rsidRPr="006D1FB8" w:rsidRDefault="006D1FB8" w:rsidP="00EE11E4">
            <w:pPr>
              <w:pStyle w:val="Geenafstand"/>
              <w:jc w:val="both"/>
              <w:rPr>
                <w:rStyle w:val="Hyperlink"/>
                <w:rFonts w:cstheme="minorHAnsi"/>
                <w:bCs/>
                <w:szCs w:val="20"/>
                <w:lang w:val="fr-FR"/>
              </w:rPr>
            </w:pPr>
            <w:r>
              <w:rPr>
                <w:rFonts w:cstheme="minorHAnsi"/>
                <w:bCs/>
                <w:szCs w:val="20"/>
                <w:lang w:val="fr-FR"/>
              </w:rPr>
              <w:fldChar w:fldCharType="begin"/>
            </w:r>
            <w:r>
              <w:rPr>
                <w:rFonts w:cstheme="minorHAnsi"/>
                <w:bCs/>
                <w:szCs w:val="20"/>
                <w:lang w:val="fr-FR"/>
              </w:rPr>
              <w:instrText xml:space="preserve"> HYPERLINK  \l "_Amendement_542_1" </w:instrText>
            </w:r>
            <w:r>
              <w:rPr>
                <w:rFonts w:cstheme="minorHAnsi"/>
                <w:bCs/>
                <w:szCs w:val="20"/>
                <w:lang w:val="fr-FR"/>
              </w:rPr>
            </w:r>
            <w:r>
              <w:rPr>
                <w:rFonts w:cstheme="minorHAnsi"/>
                <w:bCs/>
                <w:szCs w:val="20"/>
                <w:lang w:val="fr-FR"/>
              </w:rPr>
              <w:fldChar w:fldCharType="separate"/>
            </w:r>
            <w:r w:rsidR="00EE11E4" w:rsidRPr="006D1FB8">
              <w:rPr>
                <w:rStyle w:val="Hyperlink"/>
                <w:rFonts w:cstheme="minorHAnsi"/>
                <w:bCs/>
                <w:szCs w:val="20"/>
                <w:lang w:val="fr-FR"/>
              </w:rPr>
              <w:t xml:space="preserve">En cas de décès, d'incapacité ou de toute autre cause étrangère rendant définitivement impossible l'exécution de ses obligations par le débiteur d'un apport en industrie, les actions qui lui ont été attribuées en rémunération de son apport sont frappées de caducité. Elles ne donneront droit à un éventuel dividende relatif à l'exercice en cours que prorata </w:t>
            </w:r>
            <w:proofErr w:type="spellStart"/>
            <w:r w:rsidR="00EE11E4" w:rsidRPr="006D1FB8">
              <w:rPr>
                <w:rStyle w:val="Hyperlink"/>
                <w:rFonts w:cstheme="minorHAnsi"/>
                <w:bCs/>
                <w:szCs w:val="20"/>
                <w:lang w:val="fr-FR"/>
              </w:rPr>
              <w:t>temporis</w:t>
            </w:r>
            <w:proofErr w:type="spellEnd"/>
            <w:r w:rsidR="00EE11E4" w:rsidRPr="006D1FB8">
              <w:rPr>
                <w:rStyle w:val="Hyperlink"/>
                <w:rFonts w:cstheme="minorHAnsi"/>
                <w:bCs/>
                <w:szCs w:val="20"/>
                <w:lang w:val="fr-FR"/>
              </w:rPr>
              <w:t>.</w:t>
            </w:r>
            <w:r w:rsidR="00EE11E4" w:rsidRPr="006D1FB8">
              <w:rPr>
                <w:rStyle w:val="Hyperlink"/>
                <w:rFonts w:cstheme="minorHAnsi"/>
                <w:bCs/>
                <w:szCs w:val="20"/>
                <w:lang w:val="fr-FR"/>
              </w:rPr>
              <w:br/>
              <w:t> </w:t>
            </w:r>
          </w:p>
          <w:p w14:paraId="2E85B1B7" w14:textId="77777777" w:rsidR="0063297F" w:rsidRPr="006D1FB8" w:rsidRDefault="00EE11E4" w:rsidP="00EE11E4">
            <w:pPr>
              <w:pStyle w:val="Geenafstand"/>
              <w:jc w:val="both"/>
              <w:rPr>
                <w:rStyle w:val="Hyperlink"/>
                <w:rFonts w:cstheme="minorHAnsi"/>
                <w:bCs/>
                <w:szCs w:val="20"/>
                <w:lang w:val="fr-FR"/>
              </w:rPr>
            </w:pPr>
            <w:r w:rsidRPr="006D1FB8">
              <w:rPr>
                <w:rStyle w:val="Hyperlink"/>
                <w:rFonts w:cstheme="minorHAnsi"/>
                <w:bCs/>
                <w:szCs w:val="20"/>
                <w:lang w:val="fr-FR"/>
              </w:rPr>
              <w:t>Lorsqu'en raison d'une cause étrangère, le débiteur d'un apport en industrie est dans l'impossibilité temporaire d'exécuter ses obligations pour une période de plus de trois mois, les droits sociaux attachés aux actions qui lui ont été attribuées en rémunération de son apport sont suspendus pour toute la durée de cette impossibilité qui dépasse cette période de trois mois.</w:t>
            </w:r>
            <w:r w:rsidRPr="006D1FB8">
              <w:rPr>
                <w:rStyle w:val="Hyperlink"/>
                <w:rFonts w:cstheme="minorHAnsi"/>
                <w:bCs/>
                <w:szCs w:val="20"/>
                <w:lang w:val="fr-FR"/>
              </w:rPr>
              <w:br/>
              <w:t>  </w:t>
            </w:r>
          </w:p>
          <w:p w14:paraId="3DAA511F" w14:textId="455C68A6" w:rsidR="005A0621" w:rsidRPr="00EE11E4" w:rsidRDefault="00EE11E4" w:rsidP="00EE11E4">
            <w:pPr>
              <w:pStyle w:val="Geenafstand"/>
              <w:jc w:val="both"/>
              <w:rPr>
                <w:rFonts w:cstheme="minorHAnsi"/>
                <w:szCs w:val="20"/>
                <w:lang w:val="fr-FR"/>
              </w:rPr>
            </w:pPr>
            <w:r w:rsidRPr="006D1FB8">
              <w:rPr>
                <w:rStyle w:val="Hyperlink"/>
                <w:rFonts w:cstheme="minorHAnsi"/>
                <w:bCs/>
                <w:szCs w:val="20"/>
                <w:lang w:val="fr-FR"/>
              </w:rPr>
              <w:t>Les statuts peuvent déroger au présent article.</w:t>
            </w:r>
            <w:r w:rsidR="006D1FB8">
              <w:rPr>
                <w:rFonts w:cstheme="minorHAnsi"/>
                <w:bCs/>
                <w:szCs w:val="20"/>
                <w:lang w:val="fr-FR"/>
              </w:rPr>
              <w:fldChar w:fldCharType="end"/>
            </w:r>
            <w:bookmarkStart w:id="0" w:name="_GoBack"/>
            <w:bookmarkEnd w:id="0"/>
          </w:p>
        </w:tc>
      </w:tr>
      <w:tr w:rsidR="0086416F" w:rsidRPr="00A474F6" w14:paraId="4F3D8759" w14:textId="77777777" w:rsidTr="00ED4754">
        <w:trPr>
          <w:trHeight w:val="354"/>
        </w:trPr>
        <w:tc>
          <w:tcPr>
            <w:tcW w:w="1980" w:type="dxa"/>
          </w:tcPr>
          <w:p w14:paraId="2264A0C1" w14:textId="77777777" w:rsidR="0086416F" w:rsidRDefault="0086416F"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0CF50A1E" w14:textId="67FA2F37" w:rsidR="0086416F" w:rsidRPr="005F7AD1" w:rsidRDefault="00ED4754" w:rsidP="00887026">
            <w:pPr>
              <w:pStyle w:val="Geenafstand"/>
              <w:jc w:val="both"/>
              <w:rPr>
                <w:rFonts w:cstheme="minorHAnsi"/>
                <w:szCs w:val="20"/>
              </w:rPr>
            </w:pPr>
            <w:r>
              <w:rPr>
                <w:rFonts w:cstheme="minorHAnsi"/>
                <w:szCs w:val="20"/>
              </w:rPr>
              <w:t>/</w:t>
            </w:r>
          </w:p>
        </w:tc>
        <w:tc>
          <w:tcPr>
            <w:tcW w:w="5953" w:type="dxa"/>
            <w:gridSpan w:val="2"/>
            <w:shd w:val="clear" w:color="auto" w:fill="auto"/>
          </w:tcPr>
          <w:p w14:paraId="6ABC2753" w14:textId="7E38F6BF" w:rsidR="0086416F" w:rsidRPr="005F7AD1" w:rsidRDefault="00ED4754" w:rsidP="00887026">
            <w:pPr>
              <w:pStyle w:val="Geenafstand"/>
              <w:jc w:val="both"/>
              <w:rPr>
                <w:rFonts w:cstheme="minorHAnsi"/>
                <w:szCs w:val="20"/>
                <w:lang w:val="fr-FR"/>
              </w:rPr>
            </w:pPr>
            <w:r>
              <w:rPr>
                <w:rFonts w:cstheme="minorHAnsi"/>
                <w:szCs w:val="20"/>
                <w:lang w:val="fr-FR"/>
              </w:rPr>
              <w:t>/</w:t>
            </w:r>
          </w:p>
        </w:tc>
      </w:tr>
      <w:tr w:rsidR="0086416F" w:rsidRPr="00753950" w14:paraId="52412178" w14:textId="77777777" w:rsidTr="0086416F">
        <w:trPr>
          <w:trHeight w:val="381"/>
        </w:trPr>
        <w:tc>
          <w:tcPr>
            <w:tcW w:w="1980" w:type="dxa"/>
          </w:tcPr>
          <w:p w14:paraId="067E4644" w14:textId="77777777" w:rsidR="0086416F" w:rsidRPr="00753950" w:rsidRDefault="0086416F" w:rsidP="005A0621">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55A4584" w14:textId="77777777" w:rsidR="0086416F" w:rsidRPr="00753950" w:rsidRDefault="0086416F" w:rsidP="005A0621">
            <w:pPr>
              <w:pStyle w:val="Geenafstand"/>
              <w:jc w:val="both"/>
              <w:rPr>
                <w:rFonts w:cstheme="minorHAnsi"/>
                <w:szCs w:val="20"/>
                <w:lang w:val="fr-FR"/>
              </w:rPr>
            </w:pPr>
            <w:proofErr w:type="spellStart"/>
            <w:r>
              <w:rPr>
                <w:rFonts w:cstheme="minorHAnsi"/>
                <w:szCs w:val="20"/>
                <w:lang w:val="fr-FR"/>
              </w:rPr>
              <w:t>Geen</w:t>
            </w:r>
            <w:proofErr w:type="spellEnd"/>
            <w:r>
              <w:rPr>
                <w:rFonts w:cstheme="minorHAnsi"/>
                <w:szCs w:val="20"/>
                <w:lang w:val="fr-FR"/>
              </w:rPr>
              <w:t xml:space="preserve"> </w:t>
            </w:r>
            <w:proofErr w:type="spellStart"/>
            <w:r>
              <w:rPr>
                <w:rFonts w:cstheme="minorHAnsi"/>
                <w:szCs w:val="20"/>
                <w:lang w:val="fr-FR"/>
              </w:rPr>
              <w:t>artikel</w:t>
            </w:r>
            <w:proofErr w:type="spellEnd"/>
            <w:r>
              <w:rPr>
                <w:rFonts w:cstheme="minorHAnsi"/>
                <w:szCs w:val="20"/>
                <w:lang w:val="fr-FR"/>
              </w:rPr>
              <w:t>.</w:t>
            </w:r>
          </w:p>
        </w:tc>
        <w:tc>
          <w:tcPr>
            <w:tcW w:w="5953" w:type="dxa"/>
            <w:gridSpan w:val="2"/>
            <w:shd w:val="clear" w:color="auto" w:fill="auto"/>
          </w:tcPr>
          <w:p w14:paraId="6329B63D" w14:textId="77777777" w:rsidR="0086416F" w:rsidRPr="00D41C14" w:rsidRDefault="0086416F" w:rsidP="005A0621">
            <w:pPr>
              <w:pStyle w:val="Geenafstand"/>
              <w:jc w:val="both"/>
              <w:rPr>
                <w:rFonts w:cstheme="minorHAnsi"/>
                <w:szCs w:val="20"/>
                <w:lang w:val="fr-BE"/>
              </w:rPr>
            </w:pPr>
            <w:r>
              <w:rPr>
                <w:rFonts w:cstheme="minorHAnsi"/>
                <w:szCs w:val="20"/>
                <w:lang w:val="fr-BE"/>
              </w:rPr>
              <w:t>Pas d’article.</w:t>
            </w:r>
          </w:p>
        </w:tc>
      </w:tr>
      <w:tr w:rsidR="0086416F" w:rsidRPr="00A474F6" w14:paraId="5D9D94A2" w14:textId="77777777" w:rsidTr="0086416F">
        <w:trPr>
          <w:trHeight w:val="422"/>
        </w:trPr>
        <w:tc>
          <w:tcPr>
            <w:tcW w:w="1980" w:type="dxa"/>
          </w:tcPr>
          <w:p w14:paraId="27ADD43C" w14:textId="77777777" w:rsidR="0086416F" w:rsidRDefault="0086416F" w:rsidP="00A474F6">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52B3BAE4" w14:textId="73B8F6EE" w:rsidR="0086416F" w:rsidRPr="00A474F6" w:rsidRDefault="004C0180" w:rsidP="00A474F6">
            <w:pPr>
              <w:spacing w:after="0" w:line="240" w:lineRule="auto"/>
              <w:jc w:val="both"/>
              <w:rPr>
                <w:lang w:val="nl-BE"/>
              </w:rPr>
            </w:pPr>
            <w:r>
              <w:rPr>
                <w:lang w:val="nl-BE"/>
              </w:rPr>
              <w:t>/</w:t>
            </w:r>
          </w:p>
        </w:tc>
        <w:tc>
          <w:tcPr>
            <w:tcW w:w="5953" w:type="dxa"/>
            <w:gridSpan w:val="2"/>
            <w:shd w:val="clear" w:color="auto" w:fill="auto"/>
          </w:tcPr>
          <w:p w14:paraId="5415A667" w14:textId="255F2C38" w:rsidR="0086416F" w:rsidRPr="00A474F6" w:rsidRDefault="004C0180" w:rsidP="00A474F6">
            <w:pPr>
              <w:spacing w:after="0" w:line="240" w:lineRule="auto"/>
              <w:jc w:val="both"/>
              <w:rPr>
                <w:lang w:val="fr-FR"/>
              </w:rPr>
            </w:pPr>
            <w:r>
              <w:rPr>
                <w:lang w:val="fr-FR"/>
              </w:rPr>
              <w:t>/</w:t>
            </w:r>
          </w:p>
        </w:tc>
      </w:tr>
      <w:tr w:rsidR="0086416F" w:rsidRPr="00EA329A" w14:paraId="471AF321" w14:textId="77777777" w:rsidTr="0086416F">
        <w:trPr>
          <w:trHeight w:val="458"/>
        </w:trPr>
        <w:tc>
          <w:tcPr>
            <w:tcW w:w="1980" w:type="dxa"/>
          </w:tcPr>
          <w:p w14:paraId="015BF52E" w14:textId="77777777" w:rsidR="0086416F" w:rsidRDefault="0086416F" w:rsidP="00EA329A">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3FD98F85" w14:textId="77777777" w:rsidR="0086416F" w:rsidRPr="00B566A5" w:rsidRDefault="0086416F" w:rsidP="00172C18">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gridSpan w:val="2"/>
            <w:shd w:val="clear" w:color="auto" w:fill="auto"/>
          </w:tcPr>
          <w:p w14:paraId="1863C8CC" w14:textId="77777777" w:rsidR="0086416F" w:rsidRDefault="0086416F" w:rsidP="00172C18">
            <w:pPr>
              <w:spacing w:after="0"/>
            </w:pPr>
            <w:r w:rsidRPr="00B566A5">
              <w:t xml:space="preserve">Pas de </w:t>
            </w:r>
            <w:proofErr w:type="spellStart"/>
            <w:r w:rsidRPr="00B566A5">
              <w:t>remarques</w:t>
            </w:r>
            <w:proofErr w:type="spellEnd"/>
            <w:r>
              <w:t>.</w:t>
            </w:r>
          </w:p>
        </w:tc>
      </w:tr>
      <w:tr w:rsidR="004C0180" w:rsidRPr="006D1FB8" w14:paraId="690AB79C" w14:textId="77777777" w:rsidTr="006D1FB8">
        <w:trPr>
          <w:trHeight w:val="437"/>
        </w:trPr>
        <w:tc>
          <w:tcPr>
            <w:tcW w:w="1980" w:type="dxa"/>
          </w:tcPr>
          <w:p w14:paraId="6B8AE35E" w14:textId="5B32BD01" w:rsidR="004C0180" w:rsidRDefault="004C0180" w:rsidP="006D1FB8">
            <w:pPr>
              <w:pStyle w:val="Kop1"/>
              <w:rPr>
                <w:lang w:val="fr-FR"/>
              </w:rPr>
            </w:pPr>
            <w:bookmarkStart w:id="1" w:name="_Amendement_542"/>
            <w:bookmarkStart w:id="2" w:name="_Amendement_542_1"/>
            <w:bookmarkEnd w:id="1"/>
            <w:bookmarkEnd w:id="2"/>
            <w:r>
              <w:rPr>
                <w:lang w:val="fr-FR"/>
              </w:rPr>
              <w:t>Amendement 542</w:t>
            </w:r>
          </w:p>
        </w:tc>
        <w:tc>
          <w:tcPr>
            <w:tcW w:w="5812" w:type="dxa"/>
            <w:shd w:val="clear" w:color="auto" w:fill="auto"/>
          </w:tcPr>
          <w:p w14:paraId="4A416BA2" w14:textId="7B0BDD79" w:rsidR="004C0180" w:rsidRPr="006D1FB8" w:rsidRDefault="006D1FB8" w:rsidP="00172C18">
            <w:pPr>
              <w:spacing w:after="0"/>
              <w:rPr>
                <w:lang w:val="nl-NL"/>
              </w:rPr>
            </w:pPr>
            <w:r w:rsidRPr="006D1FB8">
              <w:rPr>
                <w:lang w:val="nl-NL"/>
              </w:rPr>
              <w:t xml:space="preserve">De tekst is die van artikel 5:10. </w:t>
            </w:r>
          </w:p>
        </w:tc>
        <w:tc>
          <w:tcPr>
            <w:tcW w:w="5953" w:type="dxa"/>
            <w:gridSpan w:val="2"/>
            <w:shd w:val="clear" w:color="auto" w:fill="auto"/>
          </w:tcPr>
          <w:p w14:paraId="4ACB01A3" w14:textId="434BBF03" w:rsidR="004C0180" w:rsidRPr="006D1FB8" w:rsidRDefault="006D1FB8" w:rsidP="00172C18">
            <w:pPr>
              <w:spacing w:after="0"/>
              <w:rPr>
                <w:lang w:val="fr-FR"/>
              </w:rPr>
            </w:pPr>
            <w:r w:rsidRPr="006D1FB8">
              <w:rPr>
                <w:lang w:val="fr-FR"/>
              </w:rPr>
              <w:t xml:space="preserve">Le texte est celui de l’article </w:t>
            </w:r>
            <w:proofErr w:type="gramStart"/>
            <w:r w:rsidRPr="006D1FB8">
              <w:rPr>
                <w:lang w:val="fr-FR"/>
              </w:rPr>
              <w:t>5:</w:t>
            </w:r>
            <w:proofErr w:type="gramEnd"/>
            <w:r w:rsidRPr="006D1FB8">
              <w:rPr>
                <w:lang w:val="fr-FR"/>
              </w:rPr>
              <w:t xml:space="preserve">10. </w:t>
            </w:r>
          </w:p>
        </w:tc>
      </w:tr>
    </w:tbl>
    <w:p w14:paraId="6FEE1B97" w14:textId="77777777" w:rsidR="000D42B6" w:rsidRPr="005F7AD1" w:rsidRDefault="000D42B6">
      <w:pPr>
        <w:rPr>
          <w:lang w:val="fr-FR"/>
        </w:rPr>
      </w:pPr>
    </w:p>
    <w:sectPr w:rsidR="000D42B6" w:rsidRPr="005F7AD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9B8D5" w14:textId="77777777" w:rsidR="00B07412" w:rsidRDefault="00B07412" w:rsidP="000D42B6">
      <w:pPr>
        <w:spacing w:after="0" w:line="240" w:lineRule="auto"/>
      </w:pPr>
      <w:r>
        <w:separator/>
      </w:r>
    </w:p>
  </w:endnote>
  <w:endnote w:type="continuationSeparator" w:id="0">
    <w:p w14:paraId="51F44327" w14:textId="77777777" w:rsidR="00B07412" w:rsidRDefault="00B0741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19045" w14:textId="77777777" w:rsidR="00B07412" w:rsidRDefault="00B07412" w:rsidP="000D42B6">
      <w:pPr>
        <w:spacing w:after="0" w:line="240" w:lineRule="auto"/>
      </w:pPr>
      <w:r>
        <w:separator/>
      </w:r>
    </w:p>
  </w:footnote>
  <w:footnote w:type="continuationSeparator" w:id="0">
    <w:p w14:paraId="3B9E9A9C" w14:textId="77777777" w:rsidR="00B07412" w:rsidRDefault="00B0741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9C4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172C18"/>
    <w:rsid w:val="001777AA"/>
    <w:rsid w:val="00200CB2"/>
    <w:rsid w:val="00202051"/>
    <w:rsid w:val="00266AFF"/>
    <w:rsid w:val="002C3532"/>
    <w:rsid w:val="00393BDA"/>
    <w:rsid w:val="003D094B"/>
    <w:rsid w:val="003D46FE"/>
    <w:rsid w:val="003D55CF"/>
    <w:rsid w:val="00417C7D"/>
    <w:rsid w:val="00423A6A"/>
    <w:rsid w:val="00427696"/>
    <w:rsid w:val="00450F84"/>
    <w:rsid w:val="004C0180"/>
    <w:rsid w:val="004D10EE"/>
    <w:rsid w:val="00503582"/>
    <w:rsid w:val="00512C24"/>
    <w:rsid w:val="005407B7"/>
    <w:rsid w:val="00552278"/>
    <w:rsid w:val="005974AD"/>
    <w:rsid w:val="005A0621"/>
    <w:rsid w:val="005B33B1"/>
    <w:rsid w:val="005D2470"/>
    <w:rsid w:val="005F7AD1"/>
    <w:rsid w:val="0063297F"/>
    <w:rsid w:val="006D1FB8"/>
    <w:rsid w:val="00753950"/>
    <w:rsid w:val="007A6A5E"/>
    <w:rsid w:val="00814B75"/>
    <w:rsid w:val="0086416F"/>
    <w:rsid w:val="008748BF"/>
    <w:rsid w:val="008A299A"/>
    <w:rsid w:val="0099503B"/>
    <w:rsid w:val="00A41BE3"/>
    <w:rsid w:val="00A46D88"/>
    <w:rsid w:val="00A474F6"/>
    <w:rsid w:val="00A83886"/>
    <w:rsid w:val="00B0539A"/>
    <w:rsid w:val="00B07412"/>
    <w:rsid w:val="00B6250A"/>
    <w:rsid w:val="00BB0F3C"/>
    <w:rsid w:val="00DC54F2"/>
    <w:rsid w:val="00E17723"/>
    <w:rsid w:val="00EA329A"/>
    <w:rsid w:val="00ED4754"/>
    <w:rsid w:val="00EE11E4"/>
    <w:rsid w:val="00EF6ED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250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D1FB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8748BF"/>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6D1FB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D1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87580">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508903561">
      <w:bodyDiv w:val="1"/>
      <w:marLeft w:val="0"/>
      <w:marRight w:val="0"/>
      <w:marTop w:val="0"/>
      <w:marBottom w:val="0"/>
      <w:divBdr>
        <w:top w:val="none" w:sz="0" w:space="0" w:color="auto"/>
        <w:left w:val="none" w:sz="0" w:space="0" w:color="auto"/>
        <w:bottom w:val="none" w:sz="0" w:space="0" w:color="auto"/>
        <w:right w:val="none" w:sz="0" w:space="0" w:color="auto"/>
      </w:divBdr>
    </w:div>
    <w:div w:id="192591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D669-35A9-5949-8B8B-A2B3D408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366</Words>
  <Characters>2013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cp:revision>
  <dcterms:created xsi:type="dcterms:W3CDTF">2019-10-18T10:25:00Z</dcterms:created>
  <dcterms:modified xsi:type="dcterms:W3CDTF">2021-10-02T13:20:00Z</dcterms:modified>
</cp:coreProperties>
</file>