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0912CAC5" w14:textId="77777777" w:rsidTr="001F3D08">
        <w:tc>
          <w:tcPr>
            <w:tcW w:w="2122" w:type="dxa"/>
          </w:tcPr>
          <w:p w14:paraId="7593DDD6" w14:textId="77777777" w:rsidR="000D42B6" w:rsidRPr="00B07AC9" w:rsidRDefault="001F3D08" w:rsidP="00945353">
            <w:pPr>
              <w:rPr>
                <w:b/>
                <w:sz w:val="32"/>
                <w:szCs w:val="32"/>
                <w:lang w:val="nl-BE"/>
              </w:rPr>
            </w:pPr>
            <w:r>
              <w:rPr>
                <w:b/>
                <w:sz w:val="32"/>
                <w:szCs w:val="32"/>
                <w:lang w:val="nl-BE"/>
              </w:rPr>
              <w:t xml:space="preserve">ARTIKEL </w:t>
            </w:r>
            <w:r w:rsidR="00076900">
              <w:rPr>
                <w:b/>
                <w:sz w:val="32"/>
                <w:szCs w:val="32"/>
                <w:lang w:val="nl-BE"/>
              </w:rPr>
              <w:t>6:</w:t>
            </w:r>
            <w:r w:rsidR="005E3A3F">
              <w:rPr>
                <w:b/>
                <w:sz w:val="32"/>
                <w:szCs w:val="32"/>
                <w:lang w:val="nl-BE"/>
              </w:rPr>
              <w:t>110</w:t>
            </w:r>
          </w:p>
        </w:tc>
        <w:tc>
          <w:tcPr>
            <w:tcW w:w="11623" w:type="dxa"/>
            <w:gridSpan w:val="2"/>
            <w:shd w:val="clear" w:color="auto" w:fill="auto"/>
          </w:tcPr>
          <w:p w14:paraId="44B25925" w14:textId="77777777" w:rsidR="000D42B6" w:rsidRPr="00382324" w:rsidRDefault="000D42B6" w:rsidP="00945353">
            <w:pPr>
              <w:rPr>
                <w:rFonts w:asciiTheme="majorHAnsi" w:eastAsiaTheme="majorEastAsia" w:hAnsiTheme="majorHAnsi" w:cstheme="majorBidi"/>
                <w:b/>
                <w:bCs/>
                <w:color w:val="2E74B5" w:themeColor="accent1" w:themeShade="BF"/>
                <w:sz w:val="32"/>
                <w:szCs w:val="28"/>
                <w:lang w:val="nl-BE"/>
              </w:rPr>
            </w:pPr>
          </w:p>
        </w:tc>
      </w:tr>
      <w:tr w:rsidR="00E612FA" w:rsidRPr="0095173E" w14:paraId="70CA70A8" w14:textId="77777777" w:rsidTr="009E17BA">
        <w:tc>
          <w:tcPr>
            <w:tcW w:w="13745" w:type="dxa"/>
            <w:gridSpan w:val="3"/>
          </w:tcPr>
          <w:p w14:paraId="30F99161" w14:textId="77777777" w:rsidR="00E612FA" w:rsidRDefault="00E612FA" w:rsidP="00E612F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14AF759" w14:textId="77777777" w:rsidR="00E612FA" w:rsidRDefault="00E612FA" w:rsidP="00E612F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4000B9D" w14:textId="77777777" w:rsidR="00E612FA" w:rsidRPr="00E612FA" w:rsidRDefault="00E612FA" w:rsidP="00E612F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5173E" w14:paraId="0D740824" w14:textId="77777777" w:rsidTr="001F3D08">
        <w:tc>
          <w:tcPr>
            <w:tcW w:w="2122" w:type="dxa"/>
          </w:tcPr>
          <w:p w14:paraId="2150C914" w14:textId="77777777" w:rsidR="005B33B1" w:rsidRPr="00B07AC9" w:rsidRDefault="005B33B1" w:rsidP="00945353">
            <w:pPr>
              <w:rPr>
                <w:b/>
                <w:sz w:val="32"/>
                <w:szCs w:val="32"/>
                <w:lang w:val="nl-BE"/>
              </w:rPr>
            </w:pPr>
          </w:p>
        </w:tc>
        <w:tc>
          <w:tcPr>
            <w:tcW w:w="11623" w:type="dxa"/>
            <w:gridSpan w:val="2"/>
            <w:shd w:val="clear" w:color="auto" w:fill="auto"/>
          </w:tcPr>
          <w:p w14:paraId="333EDB69" w14:textId="77777777" w:rsidR="005B33B1" w:rsidRPr="00382324" w:rsidRDefault="005B33B1" w:rsidP="00945353">
            <w:pPr>
              <w:rPr>
                <w:rFonts w:asciiTheme="majorHAnsi" w:eastAsiaTheme="majorEastAsia" w:hAnsiTheme="majorHAnsi" w:cstheme="majorBidi"/>
                <w:b/>
                <w:bCs/>
                <w:color w:val="2E74B5" w:themeColor="accent1" w:themeShade="BF"/>
                <w:sz w:val="32"/>
                <w:szCs w:val="28"/>
                <w:lang w:val="nl-BE"/>
              </w:rPr>
            </w:pPr>
          </w:p>
        </w:tc>
      </w:tr>
      <w:tr w:rsidR="005E3A3F" w:rsidRPr="00945353" w14:paraId="2E1B6504" w14:textId="77777777" w:rsidTr="00446D1E">
        <w:trPr>
          <w:trHeight w:val="803"/>
        </w:trPr>
        <w:tc>
          <w:tcPr>
            <w:tcW w:w="2122" w:type="dxa"/>
          </w:tcPr>
          <w:p w14:paraId="3768FB03" w14:textId="77777777" w:rsidR="005E3A3F" w:rsidRDefault="005E3A3F" w:rsidP="00945353">
            <w:pPr>
              <w:spacing w:after="0" w:line="240" w:lineRule="auto"/>
              <w:jc w:val="both"/>
              <w:rPr>
                <w:rFonts w:cs="Calibri"/>
                <w:lang w:val="nl-BE"/>
              </w:rPr>
            </w:pPr>
            <w:r>
              <w:rPr>
                <w:rFonts w:cs="Calibri"/>
                <w:lang w:val="nl-BE"/>
              </w:rPr>
              <w:t>WVV</w:t>
            </w:r>
          </w:p>
        </w:tc>
        <w:tc>
          <w:tcPr>
            <w:tcW w:w="5811" w:type="dxa"/>
            <w:shd w:val="clear" w:color="auto" w:fill="auto"/>
          </w:tcPr>
          <w:p w14:paraId="517262D4" w14:textId="1558F797" w:rsidR="005E3A3F" w:rsidRPr="009C0C54" w:rsidRDefault="009C0C54" w:rsidP="00945353">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5E3A3F" w:rsidRPr="009C0C54">
              <w:rPr>
                <w:rStyle w:val="Hyperlink"/>
                <w:rFonts w:cstheme="minorHAnsi"/>
                <w:lang w:val="nl-NL"/>
              </w:rPr>
              <w:t>§ 1. Ingeval van inbreng in natura zet het bestuursorgaan in het in artikel 6:108, § 2, bedoelde verslag uiteen waarom de inbreng van belang is voor de vennootschap. Het verslag bevat een beschrijving van elke inbreng in natura en bevat daarvan een gemotiveerde waardering. Het geeft aan welke vergoeding als tegenprestatie voor de inbreng wordt verstrekt. Het bestuursorgaan deelt dit verslag in ontwerp mee aan de commissaris of, als er geen commissaris is, een door het bestuursorgaan aangestelde bedrijfsrevisor.</w:t>
            </w:r>
          </w:p>
          <w:p w14:paraId="2C463675" w14:textId="77777777" w:rsidR="005E3A3F" w:rsidRPr="009C0C54" w:rsidRDefault="005E3A3F" w:rsidP="00945353">
            <w:pPr>
              <w:spacing w:after="0" w:line="240" w:lineRule="auto"/>
              <w:jc w:val="both"/>
              <w:rPr>
                <w:rStyle w:val="Hyperlink"/>
                <w:rFonts w:cstheme="minorHAnsi"/>
                <w:lang w:val="nl-NL"/>
              </w:rPr>
            </w:pPr>
          </w:p>
          <w:p w14:paraId="1CA3FF5F" w14:textId="77777777" w:rsidR="005E3A3F" w:rsidRPr="009C0C54" w:rsidRDefault="005E3A3F" w:rsidP="00945353">
            <w:pPr>
              <w:spacing w:after="0" w:line="240" w:lineRule="auto"/>
              <w:jc w:val="both"/>
              <w:rPr>
                <w:rStyle w:val="Hyperlink"/>
                <w:rFonts w:cstheme="minorHAnsi"/>
                <w:lang w:val="nl-NL"/>
              </w:rPr>
            </w:pPr>
            <w:r w:rsidRPr="009C0C54">
              <w:rPr>
                <w:rStyle w:val="Hyperlink"/>
                <w:rFonts w:cstheme="minorHAnsi"/>
                <w:lang w:val="nl-NL"/>
              </w:rPr>
              <w:t>De commissaris of, als er geen commissaris is, een bedrijfsrevisor aangewezen door het bestuursorgaan, onderzoekt in het in artikel 6:108, § 2, bedoelde verslag de door het bestuursorgaan gegeven beschrijving van elke inbreng in natura, de toegepaste waardering en de daartoe aangewende waarderingsmethoden. Het verslag moet aangeven of de waarden waartoe de toegepaste methoden leiden, ten minste overeenkomen met de waarde van de inbreng die in de akte wordt vermeld. Het vermeldt welke werkelijke vergoeding als tegenprestatie voor de inbreng wordt verstrekt.</w:t>
            </w:r>
          </w:p>
          <w:p w14:paraId="5A88A352" w14:textId="77777777" w:rsidR="005E3A3F" w:rsidRPr="009C0C54" w:rsidRDefault="005E3A3F" w:rsidP="00945353">
            <w:pPr>
              <w:spacing w:after="0" w:line="240" w:lineRule="auto"/>
              <w:jc w:val="both"/>
              <w:rPr>
                <w:rStyle w:val="Hyperlink"/>
                <w:rFonts w:cstheme="minorHAnsi"/>
                <w:lang w:val="nl-NL"/>
              </w:rPr>
            </w:pPr>
          </w:p>
          <w:p w14:paraId="46EE6964" w14:textId="77777777" w:rsidR="005E3A3F" w:rsidRPr="009C0C54" w:rsidRDefault="005E3A3F" w:rsidP="00945353">
            <w:pPr>
              <w:spacing w:after="0" w:line="240" w:lineRule="auto"/>
              <w:jc w:val="both"/>
              <w:rPr>
                <w:rStyle w:val="Hyperlink"/>
                <w:rFonts w:cstheme="minorHAnsi"/>
                <w:lang w:val="nl-NL"/>
              </w:rPr>
            </w:pPr>
            <w:r w:rsidRPr="009C0C54">
              <w:rPr>
                <w:rStyle w:val="Hyperlink"/>
                <w:rFonts w:cstheme="minorHAnsi"/>
                <w:lang w:val="nl-NL"/>
              </w:rPr>
              <w:t xml:space="preserve">In het in het eerste lid bedoelde verslag, waarbij het in het tweede lid bedoelde verslag wordt gevoegd, geeft het </w:t>
            </w:r>
            <w:r w:rsidRPr="009C0C54">
              <w:rPr>
                <w:rStyle w:val="Hyperlink"/>
                <w:rFonts w:cstheme="minorHAnsi"/>
                <w:lang w:val="nl-NL"/>
              </w:rPr>
              <w:lastRenderedPageBreak/>
              <w:t>bestuursorgaan in voorkomend geval aan waarom het van de conclusies van dit laatste verslag afwijkt.</w:t>
            </w:r>
          </w:p>
          <w:p w14:paraId="434DEAAF" w14:textId="77777777" w:rsidR="005E3A3F" w:rsidRPr="009C0C54" w:rsidRDefault="005E3A3F" w:rsidP="00945353">
            <w:pPr>
              <w:spacing w:after="0" w:line="240" w:lineRule="auto"/>
              <w:jc w:val="both"/>
              <w:rPr>
                <w:rStyle w:val="Hyperlink"/>
                <w:rFonts w:cstheme="minorHAnsi"/>
                <w:lang w:val="nl-NL"/>
              </w:rPr>
            </w:pPr>
          </w:p>
          <w:p w14:paraId="1F310EBF" w14:textId="77777777" w:rsidR="005E3A3F" w:rsidRPr="009C0C54" w:rsidRDefault="005E3A3F" w:rsidP="00945353">
            <w:pPr>
              <w:spacing w:after="0" w:line="240" w:lineRule="auto"/>
              <w:jc w:val="both"/>
              <w:rPr>
                <w:rStyle w:val="Hyperlink"/>
                <w:rFonts w:cstheme="minorHAnsi"/>
                <w:lang w:val="nl-BE"/>
              </w:rPr>
            </w:pPr>
            <w:r w:rsidRPr="009C0C54">
              <w:rPr>
                <w:rStyle w:val="Hyperlink"/>
                <w:rFonts w:cstheme="minorHAnsi"/>
                <w:lang w:val="nl-NL"/>
              </w:rPr>
              <w:t xml:space="preserve">De hierboven bedoelde verslagen worden neergelegd en bekendgemaakt overeenkomstig de artikelen 2:8 en 2:14, 4°. Zij worden in de agenda vermeld van de eerstvolgende algemene vergadering of, indien de statuten bepalen dat de bevoegdheid tot uitgifte van nieuwe aandelen bij de algemene vergadering ligt, in de agenda van de algemene vergadering die over de uitgifte besluit. </w:t>
            </w:r>
            <w:r w:rsidRPr="009C0C54">
              <w:rPr>
                <w:rStyle w:val="Hyperlink"/>
                <w:rFonts w:cstheme="minorHAnsi"/>
                <w:lang w:val="nl-BE"/>
              </w:rPr>
              <w:t>Een kopie ervan kan worden verkregen overeenkomstig artikel 6:70, § 2.</w:t>
            </w:r>
          </w:p>
          <w:p w14:paraId="380F80B1" w14:textId="77777777" w:rsidR="005E3A3F" w:rsidRPr="009C0C54" w:rsidRDefault="005E3A3F" w:rsidP="00945353">
            <w:pPr>
              <w:spacing w:after="0" w:line="240" w:lineRule="auto"/>
              <w:jc w:val="both"/>
              <w:rPr>
                <w:rStyle w:val="Hyperlink"/>
                <w:rFonts w:cstheme="minorHAnsi"/>
                <w:lang w:val="nl-BE"/>
              </w:rPr>
            </w:pPr>
          </w:p>
          <w:p w14:paraId="45C8CED5" w14:textId="77777777" w:rsidR="005E3A3F" w:rsidRPr="009C0C54" w:rsidRDefault="005E3A3F" w:rsidP="00945353">
            <w:pPr>
              <w:spacing w:after="0" w:line="240" w:lineRule="auto"/>
              <w:jc w:val="both"/>
              <w:rPr>
                <w:rStyle w:val="Hyperlink"/>
                <w:rFonts w:cstheme="minorHAnsi"/>
                <w:lang w:val="nl-NL"/>
              </w:rPr>
            </w:pPr>
            <w:r w:rsidRPr="009C0C54">
              <w:rPr>
                <w:rStyle w:val="Hyperlink"/>
                <w:rFonts w:cstheme="minorHAnsi"/>
                <w:lang w:val="nl-NL"/>
              </w:rPr>
              <w:t>Wanneer de in het eerste lid bedoelde beschrijving en verantwoording door het bestuursorgaan, of van de in het tweede lid bedoelde waardering en verklaring van de commissaris of van de bedrijfsrevisor ontbreekt, is het besluit van het bestuursorgaan of, in voorkomend geval, van de algemene vergadering nietig. Indien de inbreng zonder uitgifte van nieuwe aandelen plaatsvindt, is het besluit van het bestuursorgaan nietig wanneer het verslag van het bestuursorgaan of het verslag van de commissaris of bedrijfsrevisor over de inbreng in natura ontbreekt.</w:t>
            </w:r>
          </w:p>
          <w:p w14:paraId="43B394A0" w14:textId="77777777" w:rsidR="005E3A3F" w:rsidRPr="009C0C54" w:rsidRDefault="005E3A3F" w:rsidP="00945353">
            <w:pPr>
              <w:spacing w:after="0" w:line="240" w:lineRule="auto"/>
              <w:jc w:val="both"/>
              <w:rPr>
                <w:rStyle w:val="Hyperlink"/>
                <w:rFonts w:cstheme="minorHAnsi"/>
                <w:lang w:val="nl-NL"/>
              </w:rPr>
            </w:pPr>
          </w:p>
          <w:p w14:paraId="5B599065"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 2. Paragraaf 1 is niet van toepassing wanneer een inbreng in natura plaatsvindt:</w:t>
            </w:r>
          </w:p>
          <w:p w14:paraId="16055D78" w14:textId="77777777" w:rsidR="005E3A3F" w:rsidRPr="009C0C54" w:rsidRDefault="005E3A3F" w:rsidP="00945353">
            <w:pPr>
              <w:pStyle w:val="Geenafstand"/>
              <w:jc w:val="both"/>
              <w:rPr>
                <w:rStyle w:val="Hyperlink"/>
                <w:rFonts w:cstheme="minorHAnsi"/>
                <w:lang w:val="nl-NL"/>
              </w:rPr>
            </w:pPr>
          </w:p>
          <w:p w14:paraId="66DF71D9"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 xml:space="preserve">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3, 7°, 8° en </w:t>
            </w:r>
            <w:r w:rsidRPr="009C0C54">
              <w:rPr>
                <w:rStyle w:val="Hyperlink"/>
                <w:rFonts w:cstheme="minorHAnsi"/>
                <w:lang w:val="nl-NL"/>
              </w:rPr>
              <w:lastRenderedPageBreak/>
              <w:t>9°, van de wet van 21 november 2017 over de infrastructuren voor de markten voor financiële instrumenten en houdende omzetting van richtlijn 2014/65/EU worden verhandeld;</w:t>
            </w:r>
          </w:p>
          <w:p w14:paraId="251F86F2" w14:textId="77777777" w:rsidR="005E3A3F" w:rsidRPr="009C0C54" w:rsidRDefault="005E3A3F" w:rsidP="00945353">
            <w:pPr>
              <w:pStyle w:val="Geenafstand"/>
              <w:jc w:val="both"/>
              <w:rPr>
                <w:rStyle w:val="Hyperlink"/>
                <w:rFonts w:cstheme="minorHAnsi"/>
                <w:lang w:val="nl-NL"/>
              </w:rPr>
            </w:pPr>
          </w:p>
          <w:p w14:paraId="4588C815"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2° in de vorm van andere vermogensbestanddelen dan de in het 1° bedoelde effecten en geldmarktinstrumenten, die reeds door een bedrijfsrevisor zijn gewaardeerd en wanneer aan de volgende voorwaarden is voldaan:</w:t>
            </w:r>
          </w:p>
          <w:p w14:paraId="2B70A320" w14:textId="77777777" w:rsidR="005E3A3F" w:rsidRPr="009C0C54" w:rsidRDefault="005E3A3F" w:rsidP="00945353">
            <w:pPr>
              <w:pStyle w:val="Geenafstand"/>
              <w:jc w:val="both"/>
              <w:rPr>
                <w:rStyle w:val="Hyperlink"/>
                <w:rFonts w:cstheme="minorHAnsi"/>
                <w:lang w:val="nl-NL"/>
              </w:rPr>
            </w:pPr>
          </w:p>
          <w:p w14:paraId="1B2EBFC5"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a) de waarde in het economisch verkeer werd bepaald op een datum die niet meer dan zes maanden aan de effectieve datum van de inbreng voorafgaat;</w:t>
            </w:r>
          </w:p>
          <w:p w14:paraId="6B7FA46F" w14:textId="77777777" w:rsidR="005E3A3F" w:rsidRPr="009C0C54" w:rsidRDefault="005E3A3F" w:rsidP="00945353">
            <w:pPr>
              <w:pStyle w:val="Geenafstand"/>
              <w:jc w:val="both"/>
              <w:rPr>
                <w:rStyle w:val="Hyperlink"/>
                <w:rFonts w:cstheme="minorHAnsi"/>
                <w:lang w:val="nl-NL"/>
              </w:rPr>
            </w:pPr>
          </w:p>
          <w:p w14:paraId="1AD41530"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b) de waardering is uitgevoerd met inachtneming van de algemeen aanvaarde normen en beginselen voor de waardering van de categorie vermogensbestanddelen die de inbreng vormen;</w:t>
            </w:r>
          </w:p>
          <w:p w14:paraId="553D846A" w14:textId="77777777" w:rsidR="005E3A3F" w:rsidRPr="009C0C54" w:rsidRDefault="005E3A3F" w:rsidP="00945353">
            <w:pPr>
              <w:pStyle w:val="Geenafstand"/>
              <w:jc w:val="both"/>
              <w:rPr>
                <w:rStyle w:val="Hyperlink"/>
                <w:rFonts w:cstheme="minorHAnsi"/>
                <w:lang w:val="nl-NL"/>
              </w:rPr>
            </w:pPr>
          </w:p>
          <w:p w14:paraId="340DB644"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w:t>
            </w:r>
          </w:p>
          <w:p w14:paraId="0D162DCA" w14:textId="77777777" w:rsidR="005E3A3F" w:rsidRPr="009C0C54" w:rsidRDefault="005E3A3F" w:rsidP="00945353">
            <w:pPr>
              <w:pStyle w:val="Geenafstand"/>
              <w:jc w:val="both"/>
              <w:rPr>
                <w:rStyle w:val="Hyperlink"/>
                <w:rFonts w:cstheme="minorHAnsi"/>
                <w:lang w:val="nl-NL"/>
              </w:rPr>
            </w:pPr>
          </w:p>
          <w:p w14:paraId="26E7651E"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Paragraaf 1 is evenwel van toepassing op de herwaardering waartoe wordt overgegaan op initiatief en onder de verantwoordelijkheid van het bestuursorgaan:</w:t>
            </w:r>
          </w:p>
          <w:p w14:paraId="161EF55C" w14:textId="77777777" w:rsidR="005E3A3F" w:rsidRPr="009C0C54" w:rsidRDefault="005E3A3F" w:rsidP="00945353">
            <w:pPr>
              <w:pStyle w:val="Geenafstand"/>
              <w:jc w:val="both"/>
              <w:rPr>
                <w:rStyle w:val="Hyperlink"/>
                <w:rFonts w:cstheme="minorHAnsi"/>
                <w:lang w:val="nl-NL"/>
              </w:rPr>
            </w:pPr>
          </w:p>
          <w:p w14:paraId="3CB78C82"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 xml:space="preserve">1° op het in paragraaf 2, eerste lid, 1°, bepaalde geval indien de koers is beïnvloed door uitzonderlijke omstandigheden die zouden leiden tot een aanzienlijke wijziging van de waarde van </w:t>
            </w:r>
            <w:r w:rsidRPr="009C0C54">
              <w:rPr>
                <w:rStyle w:val="Hyperlink"/>
                <w:rFonts w:cstheme="minorHAnsi"/>
                <w:lang w:val="nl-NL"/>
              </w:rPr>
              <w:lastRenderedPageBreak/>
              <w:t>het vermogensbestanddeel op de effectieve datum van de inbreng ervan, met inbegrip van situaties waarin de markt voor die effecten of geldmarktinstrumenten niet meer liquide is;</w:t>
            </w:r>
          </w:p>
          <w:p w14:paraId="68963901" w14:textId="77777777" w:rsidR="005E3A3F" w:rsidRPr="009C0C54" w:rsidRDefault="005E3A3F" w:rsidP="00945353">
            <w:pPr>
              <w:pStyle w:val="Geenafstand"/>
              <w:jc w:val="both"/>
              <w:rPr>
                <w:rStyle w:val="Hyperlink"/>
                <w:rFonts w:cstheme="minorHAnsi"/>
                <w:lang w:val="nl-NL"/>
              </w:rPr>
            </w:pPr>
          </w:p>
          <w:p w14:paraId="6615DD23"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2° op de in paragraaf 2, eerste lid, 2° en 3° bepaalde gevallen indien nieuwe bijzondere omstandigheden zouden leiden tot een aanzienlijke wijziging van de waarde in het economisch verkeer van het vermogensbestanddeel op de effectieve datum van de inbreng ervan.</w:t>
            </w:r>
          </w:p>
          <w:p w14:paraId="6FD178A1" w14:textId="77777777" w:rsidR="005E3A3F" w:rsidRPr="009C0C54" w:rsidRDefault="005E3A3F" w:rsidP="00945353">
            <w:pPr>
              <w:pStyle w:val="Geenafstand"/>
              <w:jc w:val="both"/>
              <w:rPr>
                <w:rStyle w:val="Hyperlink"/>
                <w:rFonts w:cstheme="minorHAnsi"/>
                <w:lang w:val="nl-NL"/>
              </w:rPr>
            </w:pPr>
          </w:p>
          <w:p w14:paraId="520DAE6D"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Bij het ontbreken van een herwaardering zoals bedoeld in paragraaf 2, tweede lid, 2°, kunnen een of meer aandeelhouders die op de dag van de inbreng gezamenlijk ten minste 5 % van de aandelen in hun bezit hebben, een waardering volgens paragraaf 1 door een bedrijfsrevisor eisen.</w:t>
            </w:r>
          </w:p>
          <w:p w14:paraId="71E961D6" w14:textId="77777777" w:rsidR="005E3A3F" w:rsidRPr="009C0C54" w:rsidRDefault="005E3A3F" w:rsidP="00945353">
            <w:pPr>
              <w:pStyle w:val="Geenafstand"/>
              <w:jc w:val="both"/>
              <w:rPr>
                <w:rStyle w:val="Hyperlink"/>
                <w:rFonts w:cstheme="minorHAnsi"/>
                <w:lang w:val="nl-NL"/>
              </w:rPr>
            </w:pPr>
          </w:p>
          <w:p w14:paraId="215B5192"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Deze eis kan worden ingediend tot de effectieve datum van de inbreng van het vermogensbestanddeel, op voorwaarde dat zij op datum van de eis nog steeds gezamenlijk ten minste 5 % van de aandelen op de dag van de inbreng, in hun bezit hebben.</w:t>
            </w:r>
          </w:p>
          <w:p w14:paraId="47550736" w14:textId="77777777" w:rsidR="005E3A3F" w:rsidRPr="009C0C54" w:rsidRDefault="005E3A3F" w:rsidP="00945353">
            <w:pPr>
              <w:pStyle w:val="Geenafstand"/>
              <w:jc w:val="both"/>
              <w:rPr>
                <w:rStyle w:val="Hyperlink"/>
                <w:rFonts w:cstheme="minorHAnsi"/>
                <w:lang w:val="nl-NL"/>
              </w:rPr>
            </w:pPr>
          </w:p>
          <w:p w14:paraId="24026CCC" w14:textId="77777777" w:rsidR="005E3A3F" w:rsidRPr="009C0C54" w:rsidRDefault="005E3A3F" w:rsidP="00945353">
            <w:pPr>
              <w:spacing w:after="0" w:line="240" w:lineRule="auto"/>
              <w:jc w:val="both"/>
              <w:rPr>
                <w:rStyle w:val="Hyperlink"/>
                <w:rFonts w:cstheme="minorHAnsi"/>
                <w:lang w:val="nl-NL"/>
              </w:rPr>
            </w:pPr>
            <w:r w:rsidRPr="009C0C54">
              <w:rPr>
                <w:rStyle w:val="Hyperlink"/>
                <w:rFonts w:cstheme="minorHAnsi"/>
                <w:lang w:val="nl-NL"/>
              </w:rPr>
              <w:t>De kosten van deze herwaardering komen ten laste van de vennootschap.</w:t>
            </w:r>
          </w:p>
          <w:p w14:paraId="0C14A135" w14:textId="77777777" w:rsidR="005E3A3F" w:rsidRPr="009C0C54" w:rsidRDefault="005E3A3F" w:rsidP="00945353">
            <w:pPr>
              <w:spacing w:after="0" w:line="240" w:lineRule="auto"/>
              <w:jc w:val="both"/>
              <w:rPr>
                <w:rStyle w:val="Hyperlink"/>
                <w:rFonts w:cstheme="minorHAnsi"/>
                <w:lang w:val="nl-NL"/>
              </w:rPr>
            </w:pPr>
          </w:p>
          <w:p w14:paraId="0E793298"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 3. In de gevallen bepaald in paragraaf 2 waarin de inbreng plaatsvindt zonder toepassing van paragraaf 1, legt het bestuursorgaan binnen één maand na de effectieve datum van de inbreng van het vermogensbestanddeel een verklaring neer en maakt deze bekend overeenkomstig de artikelen 2:8 en 2:14, 4°, waarin de volgende inlichtingen worden vermeld:</w:t>
            </w:r>
          </w:p>
          <w:p w14:paraId="5A969781" w14:textId="77777777" w:rsidR="005E3A3F" w:rsidRPr="009C0C54" w:rsidRDefault="005E3A3F" w:rsidP="00945353">
            <w:pPr>
              <w:pStyle w:val="Geenafstand"/>
              <w:jc w:val="both"/>
              <w:rPr>
                <w:rStyle w:val="Hyperlink"/>
                <w:rFonts w:cstheme="minorHAnsi"/>
                <w:lang w:val="nl-NL"/>
              </w:rPr>
            </w:pPr>
          </w:p>
          <w:p w14:paraId="5E3F2919"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1° een beschrijving van de desbetreffende inbreng in natura;</w:t>
            </w:r>
          </w:p>
          <w:p w14:paraId="381879E0" w14:textId="77777777" w:rsidR="005E3A3F" w:rsidRPr="009C0C54" w:rsidRDefault="005E3A3F" w:rsidP="00945353">
            <w:pPr>
              <w:pStyle w:val="Geenafstand"/>
              <w:jc w:val="both"/>
              <w:rPr>
                <w:rStyle w:val="Hyperlink"/>
                <w:rFonts w:cstheme="minorHAnsi"/>
                <w:lang w:val="nl-NL"/>
              </w:rPr>
            </w:pPr>
          </w:p>
          <w:p w14:paraId="1E085F64"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2° de naam van de inbrenger;</w:t>
            </w:r>
          </w:p>
          <w:p w14:paraId="42405113" w14:textId="77777777" w:rsidR="005E3A3F" w:rsidRPr="009C0C54" w:rsidRDefault="005E3A3F" w:rsidP="00945353">
            <w:pPr>
              <w:pStyle w:val="Geenafstand"/>
              <w:jc w:val="both"/>
              <w:rPr>
                <w:rStyle w:val="Hyperlink"/>
                <w:rFonts w:cstheme="minorHAnsi"/>
                <w:lang w:val="nl-NL"/>
              </w:rPr>
            </w:pPr>
          </w:p>
          <w:p w14:paraId="38732643" w14:textId="77777777" w:rsidR="005E3A3F" w:rsidRPr="009C0C54" w:rsidRDefault="005E3A3F" w:rsidP="00945353">
            <w:pPr>
              <w:pStyle w:val="Geenafstand"/>
              <w:jc w:val="both"/>
              <w:rPr>
                <w:rStyle w:val="Hyperlink"/>
                <w:rFonts w:cstheme="minorHAnsi"/>
                <w:lang w:val="nl-NL"/>
              </w:rPr>
            </w:pPr>
            <w:r w:rsidRPr="009C0C54">
              <w:rPr>
                <w:rStyle w:val="Hyperlink"/>
                <w:rFonts w:cstheme="minorHAnsi"/>
                <w:lang w:val="nl-NL"/>
              </w:rPr>
              <w:t>3° de waarde van deze inbreng, de herkomst van deze waardering, en in voorkomend geval, de waarderingsmethode;</w:t>
            </w:r>
          </w:p>
          <w:p w14:paraId="348FA272" w14:textId="77777777" w:rsidR="005E3A3F" w:rsidRPr="009C0C54" w:rsidRDefault="005E3A3F" w:rsidP="00945353">
            <w:pPr>
              <w:pStyle w:val="Geenafstand"/>
              <w:jc w:val="both"/>
              <w:rPr>
                <w:rStyle w:val="Hyperlink"/>
                <w:rFonts w:cstheme="minorHAnsi"/>
                <w:lang w:val="nl-NL"/>
              </w:rPr>
            </w:pPr>
          </w:p>
          <w:p w14:paraId="0557BB8C" w14:textId="77777777" w:rsidR="005E3A3F" w:rsidRPr="009C0C54" w:rsidRDefault="005E3A3F" w:rsidP="00945353">
            <w:pPr>
              <w:spacing w:after="0" w:line="240" w:lineRule="auto"/>
              <w:jc w:val="both"/>
              <w:rPr>
                <w:rStyle w:val="Hyperlink"/>
                <w:rFonts w:cstheme="minorHAnsi"/>
                <w:lang w:val="nl-NL"/>
              </w:rPr>
            </w:pPr>
            <w:r w:rsidRPr="009C0C54">
              <w:rPr>
                <w:rStyle w:val="Hyperlink"/>
                <w:rFonts w:cstheme="minorHAnsi"/>
                <w:lang w:val="nl-NL"/>
              </w:rPr>
              <w:t>4° het aantal aandelen die tegen elke inbreng in natura zijn uitgegeven;</w:t>
            </w:r>
          </w:p>
          <w:p w14:paraId="11C28BF4" w14:textId="77777777" w:rsidR="005E3A3F" w:rsidRPr="009C0C54" w:rsidRDefault="005E3A3F" w:rsidP="00945353">
            <w:pPr>
              <w:spacing w:after="0" w:line="240" w:lineRule="auto"/>
              <w:jc w:val="both"/>
              <w:rPr>
                <w:rStyle w:val="Hyperlink"/>
                <w:rFonts w:cstheme="minorHAnsi"/>
                <w:lang w:val="nl-NL"/>
              </w:rPr>
            </w:pPr>
          </w:p>
          <w:p w14:paraId="6F7FDBEA" w14:textId="77777777" w:rsidR="005E3A3F" w:rsidRPr="009C0C54" w:rsidRDefault="005E3A3F" w:rsidP="00945353">
            <w:pPr>
              <w:spacing w:after="0" w:line="240" w:lineRule="auto"/>
              <w:jc w:val="both"/>
              <w:rPr>
                <w:rStyle w:val="Hyperlink"/>
                <w:rFonts w:cstheme="minorHAnsi"/>
                <w:lang w:val="nl-NL"/>
              </w:rPr>
            </w:pPr>
            <w:r w:rsidRPr="009C0C54">
              <w:rPr>
                <w:rStyle w:val="Hyperlink"/>
                <w:rFonts w:cstheme="minorHAnsi"/>
                <w:lang w:val="nl-NL"/>
              </w:rPr>
              <w:t>5° een attest dat er zich geen nieuwe bijzondere omstandigheden hebben voorgedaan ten opzichte van de oorspronkelijke waardering die deze kunnen beïnvloeden.</w:t>
            </w:r>
          </w:p>
          <w:p w14:paraId="17249CC4" w14:textId="77777777" w:rsidR="005E3A3F" w:rsidRPr="009C0C54" w:rsidRDefault="005E3A3F" w:rsidP="00945353">
            <w:pPr>
              <w:spacing w:after="0" w:line="240" w:lineRule="auto"/>
              <w:jc w:val="both"/>
              <w:rPr>
                <w:rStyle w:val="Hyperlink"/>
                <w:rFonts w:cstheme="minorHAnsi"/>
                <w:lang w:val="nl-NL"/>
              </w:rPr>
            </w:pPr>
          </w:p>
          <w:p w14:paraId="729ECF4F" w14:textId="7355E16D" w:rsidR="005E3A3F" w:rsidRPr="00D41C14" w:rsidRDefault="005E3A3F" w:rsidP="00945353">
            <w:pPr>
              <w:spacing w:after="0" w:line="240" w:lineRule="auto"/>
              <w:jc w:val="both"/>
              <w:rPr>
                <w:rFonts w:cstheme="minorHAnsi"/>
                <w:lang w:val="nl-NL"/>
              </w:rPr>
            </w:pPr>
            <w:r w:rsidRPr="009C0C54">
              <w:rPr>
                <w:rStyle w:val="Hyperlink"/>
                <w:rFonts w:cstheme="minorHAnsi"/>
                <w:lang w:val="nl-NL"/>
              </w:rPr>
              <w:t>§ 4. Indien de uitgifte van aandelen door het bestuursorgaan plaats vindt tegen een inbreng in natura met toepassing van de procedure bepaald in paragraaf 2 wordt, vóór de inbreng is verwezenlijkt, een aankondiging neergelegd en bekendgemaakt overeenkomstig de artikelen 2:8 en 2:14, 4°, die de datum van het besluit tot uitgifte alsook de in paragraaf 3 bedoelde informatie bevat. In dat geval houdt de in paragraaf 3 bedoelde verklaring enkel in dat zich sinds de openbaarmaking van de aankondiging geen nieuwe bijzondere omstandigheden hebben voorgedaan.</w:t>
            </w:r>
            <w:r w:rsidR="009C0C54">
              <w:rPr>
                <w:rFonts w:cstheme="minorHAnsi"/>
                <w:lang w:val="nl-NL"/>
              </w:rPr>
              <w:fldChar w:fldCharType="end"/>
            </w:r>
          </w:p>
        </w:tc>
        <w:tc>
          <w:tcPr>
            <w:tcW w:w="5812" w:type="dxa"/>
            <w:shd w:val="clear" w:color="auto" w:fill="auto"/>
          </w:tcPr>
          <w:p w14:paraId="51840E2C" w14:textId="5DD466C7" w:rsidR="005E3A3F" w:rsidRPr="009C0C54" w:rsidRDefault="009C0C54" w:rsidP="00945353">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5E3A3F" w:rsidRPr="009C0C54">
              <w:rPr>
                <w:rStyle w:val="Hyperlink"/>
                <w:rFonts w:cstheme="minorHAnsi"/>
                <w:lang w:val="fr-BE"/>
              </w:rPr>
              <w:t>§ 1</w:t>
            </w:r>
            <w:r w:rsidR="005E3A3F" w:rsidRPr="009C0C54">
              <w:rPr>
                <w:rStyle w:val="Hyperlink"/>
                <w:rFonts w:cstheme="minorHAnsi"/>
                <w:vertAlign w:val="superscript"/>
                <w:lang w:val="fr-BE"/>
              </w:rPr>
              <w:t>er</w:t>
            </w:r>
            <w:r w:rsidR="005E3A3F" w:rsidRPr="009C0C54">
              <w:rPr>
                <w:rStyle w:val="Hyperlink"/>
                <w:rFonts w:cstheme="minorHAnsi"/>
                <w:lang w:val="fr-BE"/>
              </w:rPr>
              <w:t>. En cas d’apport en nature, l’organe d’administration expose dans un rapport visé à l’article 6:108, § 2, l’intérêt que l’apport présente pour la société. Le rapport comporte une description de chaque apport en nature et en donne une évaluation motivée. Il indique quelle est la rémunération attribuée en contrepartie de l’apport. L’organe d’administration communique ce rapport en projet au commissaire ou, lorsqu’il n’y a pas de commissaire, au réviseur d’entreprises désigné par l’organe d’administration.</w:t>
            </w:r>
          </w:p>
          <w:p w14:paraId="52208D38" w14:textId="77777777" w:rsidR="005E3A3F" w:rsidRPr="009C0C54" w:rsidRDefault="005E3A3F" w:rsidP="00945353">
            <w:pPr>
              <w:spacing w:after="0" w:line="240" w:lineRule="auto"/>
              <w:jc w:val="both"/>
              <w:rPr>
                <w:rStyle w:val="Hyperlink"/>
                <w:rFonts w:cstheme="minorHAnsi"/>
                <w:lang w:val="fr-BE"/>
              </w:rPr>
            </w:pPr>
          </w:p>
          <w:p w14:paraId="45D67203"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Le commissaire ou, lorsqu’il n’y a pas de commissaire, un réviseur d’entreprises désigné par l’organe d’administration, examine dans le rapport visé à l’article 6:108, § 2, la description faite par l’organe d’administration de chaque apport en nature, l’évaluation adoptée et les modes d’évaluation appliqués. Le rapport doit indiquer si les valeurs auxquelles conduisent ces modes d’évaluation correspondent au moins à la valeur de l’apport mentionné dans l’acte. Il indique quelle est la rémunération réelle attribuée en contrepartie de l’apport.</w:t>
            </w:r>
          </w:p>
          <w:p w14:paraId="4EE0C0AB" w14:textId="77777777" w:rsidR="005E3A3F" w:rsidRPr="009C0C54" w:rsidRDefault="005E3A3F" w:rsidP="00945353">
            <w:pPr>
              <w:spacing w:after="0" w:line="240" w:lineRule="auto"/>
              <w:jc w:val="both"/>
              <w:rPr>
                <w:rStyle w:val="Hyperlink"/>
                <w:rFonts w:cstheme="minorHAnsi"/>
                <w:lang w:val="fr-BE"/>
              </w:rPr>
            </w:pPr>
          </w:p>
          <w:p w14:paraId="1F4C4953" w14:textId="77777777" w:rsidR="005E3A3F" w:rsidRPr="009C0C54" w:rsidRDefault="005E3A3F" w:rsidP="00945353">
            <w:pPr>
              <w:spacing w:after="0" w:line="240" w:lineRule="auto"/>
              <w:jc w:val="both"/>
              <w:rPr>
                <w:rStyle w:val="Hyperlink"/>
                <w:rFonts w:cstheme="minorHAnsi"/>
                <w:lang w:val="fr-BE"/>
              </w:rPr>
            </w:pPr>
            <w:r w:rsidRPr="009C0C54">
              <w:rPr>
                <w:rStyle w:val="Hyperlink"/>
                <w:rFonts w:cstheme="minorHAnsi"/>
                <w:lang w:val="fr-BE"/>
              </w:rPr>
              <w:t>Dans le rapport visé à l’alinéa 1</w:t>
            </w:r>
            <w:r w:rsidRPr="009C0C54">
              <w:rPr>
                <w:rStyle w:val="Hyperlink"/>
                <w:rFonts w:cstheme="minorHAnsi"/>
                <w:vertAlign w:val="superscript"/>
                <w:lang w:val="fr-BE"/>
              </w:rPr>
              <w:t>er</w:t>
            </w:r>
            <w:r w:rsidRPr="009C0C54">
              <w:rPr>
                <w:rStyle w:val="Hyperlink"/>
                <w:rFonts w:cstheme="minorHAnsi"/>
                <w:lang w:val="fr-BE"/>
              </w:rPr>
              <w:t>, auquel est joint le rapport visé à l’alinéa 2, l’organe d’administration indique, le cas échéant, les raisons pour lesquelles il s’écarte des conclusions de ce dernier rapport.</w:t>
            </w:r>
          </w:p>
          <w:p w14:paraId="4CA5A987" w14:textId="77777777" w:rsidR="005E3A3F" w:rsidRPr="009C0C54" w:rsidRDefault="005E3A3F" w:rsidP="00945353">
            <w:pPr>
              <w:spacing w:after="0" w:line="240" w:lineRule="auto"/>
              <w:jc w:val="both"/>
              <w:rPr>
                <w:rStyle w:val="Hyperlink"/>
                <w:rFonts w:cstheme="minorHAnsi"/>
                <w:lang w:val="fr-BE"/>
              </w:rPr>
            </w:pPr>
          </w:p>
          <w:p w14:paraId="0A65789D"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Les rapports précités sont déposés et publiés conformément aux articles 2:8 et 2:14, 4°. Ils sont annoncés dans l’ordre du jour de la première assemblée générale qui suit ou, si les statuts prévoient que l’assemblée générale a le pouvoir d’émission d’actions nouvelles, dans l’ordre du jour de l’assemblée générale qui décide de l’émission. Une copie peut en être obtenue conformément à l’article 6:70, § 2.</w:t>
            </w:r>
          </w:p>
          <w:p w14:paraId="71D0C6F8" w14:textId="77777777" w:rsidR="005E3A3F" w:rsidRPr="009C0C54" w:rsidRDefault="005E3A3F" w:rsidP="00945353">
            <w:pPr>
              <w:spacing w:after="0" w:line="240" w:lineRule="auto"/>
              <w:jc w:val="both"/>
              <w:rPr>
                <w:rStyle w:val="Hyperlink"/>
                <w:rFonts w:cstheme="minorHAnsi"/>
                <w:lang w:val="fr-BE"/>
              </w:rPr>
            </w:pPr>
          </w:p>
          <w:p w14:paraId="716E112D" w14:textId="77777777" w:rsidR="005E3A3F" w:rsidRPr="009C0C54" w:rsidRDefault="005E3A3F" w:rsidP="00945353">
            <w:pPr>
              <w:spacing w:after="0" w:line="240" w:lineRule="auto"/>
              <w:jc w:val="both"/>
              <w:rPr>
                <w:rStyle w:val="Hyperlink"/>
                <w:rFonts w:cstheme="minorHAnsi"/>
                <w:lang w:val="fr-BE"/>
              </w:rPr>
            </w:pPr>
            <w:r w:rsidRPr="009C0C54">
              <w:rPr>
                <w:rStyle w:val="Hyperlink"/>
                <w:rFonts w:cstheme="minorHAnsi"/>
                <w:lang w:val="fr-BE"/>
              </w:rPr>
              <w:t>En cas d’absence de la description et de la justification par l’organe d’administration, prévue à l’alinéa 1</w:t>
            </w:r>
            <w:r w:rsidRPr="009C0C54">
              <w:rPr>
                <w:rStyle w:val="Hyperlink"/>
                <w:rFonts w:cstheme="minorHAnsi"/>
                <w:vertAlign w:val="superscript"/>
                <w:lang w:val="fr-BE"/>
              </w:rPr>
              <w:t>er</w:t>
            </w:r>
            <w:r w:rsidRPr="009C0C54">
              <w:rPr>
                <w:rStyle w:val="Hyperlink"/>
                <w:rFonts w:cstheme="minorHAnsi"/>
                <w:lang w:val="fr-BE"/>
              </w:rPr>
              <w:t>, ou de l’évaluation et de la déclaration par le commissaire ou le réviseur d’entreprises, prévue à l’alinéa 2, la décision de l’organe d’administration ou, le cas échéant, de l’assemblée générale est nulle. Si l’apport ne donne pas lieu à l’émission d’actions nouvelles, la décision de l’organe d’administration est nulle en l’absence du rapport de celui-ci ou du rapport du commissaire ou du réviseur d’entreprises sur l’apport en nature.</w:t>
            </w:r>
          </w:p>
          <w:p w14:paraId="2695D992" w14:textId="77777777" w:rsidR="005E3A3F" w:rsidRPr="009C0C54" w:rsidRDefault="005E3A3F" w:rsidP="00945353">
            <w:pPr>
              <w:spacing w:after="0" w:line="240" w:lineRule="auto"/>
              <w:jc w:val="both"/>
              <w:rPr>
                <w:rStyle w:val="Hyperlink"/>
                <w:rFonts w:cstheme="minorHAnsi"/>
                <w:lang w:val="fr-BE"/>
              </w:rPr>
            </w:pPr>
          </w:p>
          <w:p w14:paraId="5DC87102"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 2. Le paragraphe 1</w:t>
            </w:r>
            <w:r w:rsidRPr="009C0C54">
              <w:rPr>
                <w:rStyle w:val="Hyperlink"/>
                <w:rFonts w:cstheme="minorHAnsi"/>
                <w:vertAlign w:val="superscript"/>
                <w:lang w:val="fr-BE"/>
              </w:rPr>
              <w:t>er</w:t>
            </w:r>
            <w:r w:rsidRPr="009C0C54">
              <w:rPr>
                <w:rStyle w:val="Hyperlink"/>
                <w:rFonts w:cstheme="minorHAnsi"/>
                <w:lang w:val="fr-BE"/>
              </w:rPr>
              <w:t xml:space="preserve"> n’est pas applicable lorsqu’un apport en nature est constitué:</w:t>
            </w:r>
          </w:p>
          <w:p w14:paraId="6DA431B1" w14:textId="77777777" w:rsidR="005E3A3F" w:rsidRPr="009C0C54" w:rsidRDefault="005E3A3F" w:rsidP="00945353">
            <w:pPr>
              <w:pStyle w:val="Geenafstand"/>
              <w:jc w:val="both"/>
              <w:rPr>
                <w:rStyle w:val="Hyperlink"/>
                <w:rFonts w:cstheme="minorHAnsi"/>
                <w:lang w:val="fr-BE"/>
              </w:rPr>
            </w:pPr>
          </w:p>
          <w:p w14:paraId="4F133695"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3, 7°, 8° et 9°, de la loi du 21 novembre 2017 relative aux infrastructures des marchés d’instruments financiers et portant transposition de la directive 2014/65/UE durant les trois mois précédant la date effective de la réalisation de l’apport en nature;</w:t>
            </w:r>
          </w:p>
          <w:p w14:paraId="2F21BF88" w14:textId="77777777" w:rsidR="005E3A3F" w:rsidRPr="009C0C54" w:rsidRDefault="005E3A3F" w:rsidP="00945353">
            <w:pPr>
              <w:pStyle w:val="Geenafstand"/>
              <w:jc w:val="both"/>
              <w:rPr>
                <w:rStyle w:val="Hyperlink"/>
                <w:rFonts w:cstheme="minorHAnsi"/>
                <w:lang w:val="fr-BE"/>
              </w:rPr>
            </w:pPr>
          </w:p>
          <w:p w14:paraId="3CBD903C"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lastRenderedPageBreak/>
              <w:t>2° d’éléments d’actif autres que les valeurs mobilières et instruments du marché monétaire visés au 1°, qui ont déjà été évalués par un réviseur d’entreprises et pour autant qu’il soit satisfait aux conditions suivantes:</w:t>
            </w:r>
          </w:p>
          <w:p w14:paraId="4F5320BE" w14:textId="77777777" w:rsidR="005E3A3F" w:rsidRPr="009C0C54" w:rsidRDefault="005E3A3F" w:rsidP="00945353">
            <w:pPr>
              <w:pStyle w:val="Geenafstand"/>
              <w:jc w:val="both"/>
              <w:rPr>
                <w:rStyle w:val="Hyperlink"/>
                <w:rFonts w:cstheme="minorHAnsi"/>
                <w:lang w:val="fr-BE"/>
              </w:rPr>
            </w:pPr>
          </w:p>
          <w:p w14:paraId="431BF5C9"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a) la juste valeur est déterminée à une date qui ne précède pas de plus de six mois la réalisation effective de l’apport;</w:t>
            </w:r>
          </w:p>
          <w:p w14:paraId="22B0F4EA" w14:textId="77777777" w:rsidR="005E3A3F" w:rsidRPr="009C0C54" w:rsidRDefault="005E3A3F" w:rsidP="00945353">
            <w:pPr>
              <w:pStyle w:val="Geenafstand"/>
              <w:jc w:val="both"/>
              <w:rPr>
                <w:rStyle w:val="Hyperlink"/>
                <w:rFonts w:cstheme="minorHAnsi"/>
                <w:lang w:val="fr-BE"/>
              </w:rPr>
            </w:pPr>
          </w:p>
          <w:p w14:paraId="79B08720" w14:textId="77777777" w:rsidR="005E3A3F" w:rsidRPr="009C0C54" w:rsidRDefault="005E3A3F" w:rsidP="00945353">
            <w:pPr>
              <w:pStyle w:val="Geenafstand"/>
              <w:jc w:val="both"/>
              <w:rPr>
                <w:rStyle w:val="Hyperlink"/>
                <w:rFonts w:cstheme="minorHAnsi"/>
                <w:lang w:val="fr-BE"/>
              </w:rPr>
            </w:pPr>
          </w:p>
          <w:p w14:paraId="043CD9D4"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b) l’évaluation a été réalisée conformément aux principes et aux normes d’évaluation généralement reconnus pour le type d’élément d’actif constituant l’apport;</w:t>
            </w:r>
          </w:p>
          <w:p w14:paraId="2D7D4F97" w14:textId="77777777" w:rsidR="005E3A3F" w:rsidRPr="009C0C54" w:rsidRDefault="005E3A3F" w:rsidP="00945353">
            <w:pPr>
              <w:pStyle w:val="Geenafstand"/>
              <w:jc w:val="both"/>
              <w:rPr>
                <w:rStyle w:val="Hyperlink"/>
                <w:rFonts w:cstheme="minorHAnsi"/>
                <w:lang w:val="fr-BE"/>
              </w:rPr>
            </w:pPr>
          </w:p>
          <w:p w14:paraId="3B6328D3"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6621FFBD" w14:textId="77777777" w:rsidR="005E3A3F" w:rsidRPr="009C0C54" w:rsidRDefault="005E3A3F" w:rsidP="00945353">
            <w:pPr>
              <w:pStyle w:val="Geenafstand"/>
              <w:jc w:val="both"/>
              <w:rPr>
                <w:rStyle w:val="Hyperlink"/>
                <w:rFonts w:cstheme="minorHAnsi"/>
                <w:lang w:val="fr-BE"/>
              </w:rPr>
            </w:pPr>
          </w:p>
          <w:p w14:paraId="415CF4BD"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Le paragraphe 1</w:t>
            </w:r>
            <w:r w:rsidRPr="009C0C54">
              <w:rPr>
                <w:rStyle w:val="Hyperlink"/>
                <w:rFonts w:cstheme="minorHAnsi"/>
                <w:vertAlign w:val="superscript"/>
                <w:lang w:val="fr-BE"/>
              </w:rPr>
              <w:t>er</w:t>
            </w:r>
            <w:r w:rsidRPr="009C0C54">
              <w:rPr>
                <w:rStyle w:val="Hyperlink"/>
                <w:rFonts w:cstheme="minorHAnsi"/>
                <w:lang w:val="fr-BE"/>
              </w:rPr>
              <w:t xml:space="preserve"> s’applique toutefois à la réévaluation effectuée à l’initiative et sous la responsabilité de l’organe d’administration:</w:t>
            </w:r>
          </w:p>
          <w:p w14:paraId="2625D2E6" w14:textId="77777777" w:rsidR="005E3A3F" w:rsidRPr="009C0C54" w:rsidRDefault="005E3A3F" w:rsidP="00945353">
            <w:pPr>
              <w:pStyle w:val="Geenafstand"/>
              <w:jc w:val="both"/>
              <w:rPr>
                <w:rStyle w:val="Hyperlink"/>
                <w:rFonts w:cstheme="minorHAnsi"/>
                <w:lang w:val="fr-BE"/>
              </w:rPr>
            </w:pPr>
          </w:p>
          <w:p w14:paraId="14188C09"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1° dans le cas prévu au paragraphe 2, alinéa 1</w:t>
            </w:r>
            <w:r w:rsidRPr="009C0C54">
              <w:rPr>
                <w:rStyle w:val="Hyperlink"/>
                <w:rFonts w:cstheme="minorHAnsi"/>
                <w:vertAlign w:val="superscript"/>
                <w:lang w:val="fr-BE"/>
              </w:rPr>
              <w:t>er</w:t>
            </w:r>
            <w:r w:rsidRPr="009C0C54">
              <w:rPr>
                <w:rStyle w:val="Hyperlink"/>
                <w:rFonts w:cstheme="minorHAnsi"/>
                <w:lang w:val="fr-BE"/>
              </w:rPr>
              <w:t>, 1°, si le prix a été affecté par des circonstances exceptionnelles pouvant modifier sensiblement la valeur de l’élément d’actif à la date effective de son apport, notamment dans les cas où le marché de ces valeurs mobilières ou de ces instruments du marché monétaire n’est plus liquide;</w:t>
            </w:r>
          </w:p>
          <w:p w14:paraId="0CC0FDE1" w14:textId="77777777" w:rsidR="005E3A3F" w:rsidRPr="009C0C54" w:rsidRDefault="005E3A3F" w:rsidP="00945353">
            <w:pPr>
              <w:spacing w:after="0" w:line="240" w:lineRule="auto"/>
              <w:jc w:val="both"/>
              <w:rPr>
                <w:rStyle w:val="Hyperlink"/>
                <w:rFonts w:cstheme="minorHAnsi"/>
                <w:lang w:val="fr-BE"/>
              </w:rPr>
            </w:pPr>
          </w:p>
          <w:p w14:paraId="62D85496"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lastRenderedPageBreak/>
              <w:t>2° dans les cas prévus au paragraphe 2, alinéa 1</w:t>
            </w:r>
            <w:r w:rsidRPr="009C0C54">
              <w:rPr>
                <w:rStyle w:val="Hyperlink"/>
                <w:rFonts w:cstheme="minorHAnsi"/>
                <w:vertAlign w:val="superscript"/>
                <w:lang w:val="fr-BE"/>
              </w:rPr>
              <w:t>er</w:t>
            </w:r>
            <w:r w:rsidRPr="009C0C54">
              <w:rPr>
                <w:rStyle w:val="Hyperlink"/>
                <w:rFonts w:cstheme="minorHAnsi"/>
                <w:lang w:val="fr-BE"/>
              </w:rPr>
              <w:t>, 2° et 3°, si des circonstances particulières nouvelles peuvent modifier sensiblement la juste valeur de l’élément d’actif à la date effective de son apport.</w:t>
            </w:r>
          </w:p>
          <w:p w14:paraId="2031F302" w14:textId="77777777" w:rsidR="005E3A3F" w:rsidRPr="009C0C54" w:rsidRDefault="005E3A3F" w:rsidP="00945353">
            <w:pPr>
              <w:pStyle w:val="Geenafstand"/>
              <w:jc w:val="both"/>
              <w:rPr>
                <w:rStyle w:val="Hyperlink"/>
                <w:rFonts w:cstheme="minorHAnsi"/>
                <w:lang w:val="fr-BE"/>
              </w:rPr>
            </w:pPr>
          </w:p>
          <w:p w14:paraId="37445883"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Faute d’une réévaluation telle que visée au paragraphe 2, alinéa 2, 2°, un ou plusieurs actionnaires détenant un pourcentage total d’au moins 5 % des actions de la société au jour de l’apport peuvent demander une évaluation par un réviseur d’entreprises conformément au paragraphe 1</w:t>
            </w:r>
            <w:r w:rsidRPr="009C0C54">
              <w:rPr>
                <w:rStyle w:val="Hyperlink"/>
                <w:rFonts w:cstheme="minorHAnsi"/>
                <w:vertAlign w:val="superscript"/>
                <w:lang w:val="fr-BE"/>
              </w:rPr>
              <w:t>er</w:t>
            </w:r>
            <w:r w:rsidRPr="009C0C54">
              <w:rPr>
                <w:rStyle w:val="Hyperlink"/>
                <w:rFonts w:cstheme="minorHAnsi"/>
                <w:lang w:val="fr-BE"/>
              </w:rPr>
              <w:t>.</w:t>
            </w:r>
          </w:p>
          <w:p w14:paraId="540469B0" w14:textId="77777777" w:rsidR="005E3A3F" w:rsidRPr="009C0C54" w:rsidRDefault="005E3A3F" w:rsidP="00945353">
            <w:pPr>
              <w:pStyle w:val="Geenafstand"/>
              <w:jc w:val="both"/>
              <w:rPr>
                <w:rStyle w:val="Hyperlink"/>
                <w:rFonts w:cstheme="minorHAnsi"/>
                <w:lang w:val="fr-BE"/>
              </w:rPr>
            </w:pPr>
          </w:p>
          <w:p w14:paraId="48576572"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Cette demande peut être faite jusqu’à la date effective de l’apport de l’élément d’actif, à condition que, à la date de la demande, le ou les actionnaires en question détiennent toujours un pourcentage total d’au moins 5 % des actions au jour de l’apport.</w:t>
            </w:r>
          </w:p>
          <w:p w14:paraId="5BDB9E74" w14:textId="77777777" w:rsidR="005E3A3F" w:rsidRPr="009C0C54" w:rsidRDefault="005E3A3F" w:rsidP="00945353">
            <w:pPr>
              <w:pStyle w:val="Geenafstand"/>
              <w:jc w:val="both"/>
              <w:rPr>
                <w:rStyle w:val="Hyperlink"/>
                <w:rFonts w:cstheme="minorHAnsi"/>
                <w:lang w:val="fr-BE"/>
              </w:rPr>
            </w:pPr>
          </w:p>
          <w:p w14:paraId="135AB264" w14:textId="77777777" w:rsidR="005E3A3F" w:rsidRPr="009C0C54" w:rsidRDefault="005E3A3F" w:rsidP="00945353">
            <w:pPr>
              <w:spacing w:after="0" w:line="240" w:lineRule="auto"/>
              <w:jc w:val="both"/>
              <w:rPr>
                <w:rStyle w:val="Hyperlink"/>
                <w:rFonts w:cstheme="minorHAnsi"/>
                <w:lang w:val="fr-BE"/>
              </w:rPr>
            </w:pPr>
            <w:r w:rsidRPr="009C0C54">
              <w:rPr>
                <w:rStyle w:val="Hyperlink"/>
                <w:rFonts w:cstheme="minorHAnsi"/>
                <w:lang w:val="fr-BE"/>
              </w:rPr>
              <w:t>Les frais de cette réévaluation sont à charge de la société.</w:t>
            </w:r>
          </w:p>
          <w:p w14:paraId="197A6F89" w14:textId="77777777" w:rsidR="005E3A3F" w:rsidRPr="009C0C54" w:rsidRDefault="005E3A3F" w:rsidP="00945353">
            <w:pPr>
              <w:spacing w:after="0" w:line="240" w:lineRule="auto"/>
              <w:jc w:val="both"/>
              <w:rPr>
                <w:rStyle w:val="Hyperlink"/>
                <w:rFonts w:cstheme="minorHAnsi"/>
                <w:lang w:val="fr-BE"/>
              </w:rPr>
            </w:pPr>
          </w:p>
          <w:p w14:paraId="0915A002"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 3. Dans les cas visés au paragraphe 2 où l’apport a lieu sans application du paragraphe 1</w:t>
            </w:r>
            <w:r w:rsidRPr="009C0C54">
              <w:rPr>
                <w:rStyle w:val="Hyperlink"/>
                <w:rFonts w:cstheme="minorHAnsi"/>
                <w:vertAlign w:val="superscript"/>
                <w:lang w:val="fr-BE"/>
              </w:rPr>
              <w:t>er</w:t>
            </w:r>
            <w:r w:rsidRPr="009C0C54">
              <w:rPr>
                <w:rStyle w:val="Hyperlink"/>
                <w:rFonts w:cstheme="minorHAnsi"/>
                <w:lang w:val="fr-BE"/>
              </w:rPr>
              <w:t>, l’organe d’administration dépose une déclaration et la publie conformément aux articles 2:8 et 2:14, 4°, dans le délai d’un mois suivant la date effective de l’apport de l’élément d’actif. Cette déclaration contient les éléments suivants:</w:t>
            </w:r>
          </w:p>
          <w:p w14:paraId="1DA819E9" w14:textId="77777777" w:rsidR="005E3A3F" w:rsidRPr="009C0C54" w:rsidRDefault="005E3A3F" w:rsidP="00945353">
            <w:pPr>
              <w:pStyle w:val="Geenafstand"/>
              <w:jc w:val="both"/>
              <w:rPr>
                <w:rStyle w:val="Hyperlink"/>
                <w:rFonts w:cstheme="minorHAnsi"/>
                <w:lang w:val="fr-BE"/>
              </w:rPr>
            </w:pPr>
          </w:p>
          <w:p w14:paraId="54F6C76D"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1° une description de l’apport en nature concerné;</w:t>
            </w:r>
          </w:p>
          <w:p w14:paraId="1A4D7AE4" w14:textId="77777777" w:rsidR="005E3A3F" w:rsidRPr="009C0C54" w:rsidRDefault="005E3A3F" w:rsidP="00945353">
            <w:pPr>
              <w:pStyle w:val="Geenafstand"/>
              <w:jc w:val="both"/>
              <w:rPr>
                <w:rStyle w:val="Hyperlink"/>
                <w:rFonts w:cstheme="minorHAnsi"/>
                <w:lang w:val="fr-BE"/>
              </w:rPr>
            </w:pPr>
          </w:p>
          <w:p w14:paraId="29702B96"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2° le nom de l’apporteur;</w:t>
            </w:r>
          </w:p>
          <w:p w14:paraId="4F44DA28" w14:textId="77777777" w:rsidR="005E3A3F" w:rsidRPr="009C0C54" w:rsidRDefault="005E3A3F" w:rsidP="00945353">
            <w:pPr>
              <w:pStyle w:val="Geenafstand"/>
              <w:jc w:val="both"/>
              <w:rPr>
                <w:rStyle w:val="Hyperlink"/>
                <w:rFonts w:cstheme="minorHAnsi"/>
                <w:lang w:val="fr-BE"/>
              </w:rPr>
            </w:pPr>
          </w:p>
          <w:p w14:paraId="1F720102"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3° la valeur de cet apport, l’origine de cette évaluation et, le cas échéant, le mode d’évaluation;</w:t>
            </w:r>
          </w:p>
          <w:p w14:paraId="739D6059" w14:textId="77777777" w:rsidR="005E3A3F" w:rsidRPr="009C0C54" w:rsidRDefault="005E3A3F" w:rsidP="00945353">
            <w:pPr>
              <w:pStyle w:val="Geenafstand"/>
              <w:jc w:val="both"/>
              <w:rPr>
                <w:rStyle w:val="Hyperlink"/>
                <w:rFonts w:cstheme="minorHAnsi"/>
                <w:lang w:val="fr-BE"/>
              </w:rPr>
            </w:pPr>
          </w:p>
          <w:p w14:paraId="77862021" w14:textId="77777777" w:rsidR="005E3A3F" w:rsidRPr="009C0C54" w:rsidRDefault="005E3A3F" w:rsidP="00945353">
            <w:pPr>
              <w:spacing w:after="0" w:line="240" w:lineRule="auto"/>
              <w:jc w:val="both"/>
              <w:rPr>
                <w:rStyle w:val="Hyperlink"/>
                <w:rFonts w:cstheme="minorHAnsi"/>
                <w:lang w:val="fr-BE"/>
              </w:rPr>
            </w:pPr>
            <w:r w:rsidRPr="009C0C54">
              <w:rPr>
                <w:rStyle w:val="Hyperlink"/>
                <w:rFonts w:cstheme="minorHAnsi"/>
                <w:lang w:val="fr-BE"/>
              </w:rPr>
              <w:lastRenderedPageBreak/>
              <w:t>4° le nombre des actions émises en contrepartie de chaque apport en nature;</w:t>
            </w:r>
          </w:p>
          <w:p w14:paraId="6F8B7E1B" w14:textId="77777777" w:rsidR="005E3A3F" w:rsidRPr="009C0C54" w:rsidRDefault="005E3A3F" w:rsidP="00945353">
            <w:pPr>
              <w:spacing w:after="0" w:line="240" w:lineRule="auto"/>
              <w:jc w:val="both"/>
              <w:rPr>
                <w:rStyle w:val="Hyperlink"/>
                <w:rFonts w:cstheme="minorHAnsi"/>
                <w:lang w:val="fr-BE"/>
              </w:rPr>
            </w:pPr>
          </w:p>
          <w:p w14:paraId="5571D635"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5° une attestation selon laquelle aucune circonstance nouvelle susceptible d’influencer l’évaluation initiale n’est survenue.</w:t>
            </w:r>
          </w:p>
          <w:p w14:paraId="0B338799" w14:textId="77777777" w:rsidR="005E3A3F" w:rsidRPr="009C0C54" w:rsidRDefault="005E3A3F" w:rsidP="00945353">
            <w:pPr>
              <w:spacing w:after="0" w:line="240" w:lineRule="auto"/>
              <w:jc w:val="both"/>
              <w:rPr>
                <w:rStyle w:val="Hyperlink"/>
                <w:rFonts w:cstheme="minorHAnsi"/>
                <w:lang w:val="fr-BE"/>
              </w:rPr>
            </w:pPr>
          </w:p>
          <w:p w14:paraId="52E5B1FA" w14:textId="77777777" w:rsidR="005E3A3F" w:rsidRPr="009C0C54" w:rsidRDefault="005E3A3F" w:rsidP="00945353">
            <w:pPr>
              <w:pStyle w:val="Geenafstand"/>
              <w:jc w:val="both"/>
              <w:rPr>
                <w:rStyle w:val="Hyperlink"/>
                <w:rFonts w:cstheme="minorHAnsi"/>
                <w:lang w:val="fr-BE"/>
              </w:rPr>
            </w:pPr>
            <w:r w:rsidRPr="009C0C54">
              <w:rPr>
                <w:rStyle w:val="Hyperlink"/>
                <w:rFonts w:cstheme="minorHAnsi"/>
                <w:lang w:val="fr-BE"/>
              </w:rPr>
              <w:t>§ 4. Si l’émission d’actions a lieu contre un apport en nature en application de la procédure prévue au paragraphe 2, un avis indiquant la date à laquelle la décision d’émettre les actions a été prise et contenant les éléments mentionnés au paragraphe 3, est déposé et publié conformément aux articles 2:8 et 2:14, 4°, avant la réalisation de l’apport. Dans ce cas, la déclaration prévue au paragraphe 3, doit uniquement attester qu’aucune circonstance particulière nouvelle n’est survenue depuis la publication de l’avis.</w:t>
            </w:r>
          </w:p>
          <w:p w14:paraId="50E9A2E7" w14:textId="0FF684CF" w:rsidR="005E3A3F" w:rsidRPr="0045690E" w:rsidRDefault="009C0C54" w:rsidP="00945353">
            <w:pPr>
              <w:spacing w:after="0" w:line="240" w:lineRule="auto"/>
              <w:jc w:val="both"/>
              <w:rPr>
                <w:rFonts w:cstheme="minorHAnsi"/>
                <w:lang w:val="fr-BE"/>
              </w:rPr>
            </w:pPr>
            <w:r>
              <w:rPr>
                <w:rFonts w:cstheme="minorHAnsi"/>
                <w:lang w:val="fr-BE"/>
              </w:rPr>
              <w:fldChar w:fldCharType="end"/>
            </w:r>
            <w:bookmarkStart w:id="0" w:name="_GoBack"/>
            <w:bookmarkEnd w:id="0"/>
          </w:p>
        </w:tc>
      </w:tr>
      <w:tr w:rsidR="001372D1" w:rsidRPr="00945353" w14:paraId="1432D34B" w14:textId="77777777" w:rsidTr="001372D1">
        <w:trPr>
          <w:trHeight w:val="353"/>
        </w:trPr>
        <w:tc>
          <w:tcPr>
            <w:tcW w:w="2122" w:type="dxa"/>
          </w:tcPr>
          <w:p w14:paraId="75F49259" w14:textId="019B6358" w:rsidR="001372D1" w:rsidRDefault="001372D1" w:rsidP="00945353">
            <w:pPr>
              <w:spacing w:after="0" w:line="240" w:lineRule="auto"/>
              <w:jc w:val="both"/>
              <w:rPr>
                <w:rFonts w:cs="Calibri"/>
                <w:lang w:val="nl-BE"/>
              </w:rPr>
            </w:pPr>
            <w:r w:rsidRPr="0014301E">
              <w:rPr>
                <w:rFonts w:cs="Calibri"/>
                <w:lang w:val="fr-FR"/>
              </w:rPr>
              <w:lastRenderedPageBreak/>
              <w:t>Ontwerp</w:t>
            </w:r>
            <w:r w:rsidRPr="0014301E">
              <w:rPr>
                <w:rFonts w:cs="Calibri"/>
                <w:lang w:val="fr-FR"/>
              </w:rPr>
              <w:tab/>
            </w:r>
          </w:p>
        </w:tc>
        <w:tc>
          <w:tcPr>
            <w:tcW w:w="5811" w:type="dxa"/>
            <w:shd w:val="clear" w:color="auto" w:fill="auto"/>
          </w:tcPr>
          <w:p w14:paraId="429F6076" w14:textId="413EC65D" w:rsidR="001372D1" w:rsidRPr="00D41C14" w:rsidRDefault="001372D1" w:rsidP="00945353">
            <w:pPr>
              <w:spacing w:after="0" w:line="240" w:lineRule="auto"/>
              <w:jc w:val="both"/>
              <w:rPr>
                <w:rFonts w:cstheme="minorHAnsi"/>
                <w:lang w:val="nl-NL"/>
              </w:rPr>
            </w:pPr>
            <w:r>
              <w:rPr>
                <w:rFonts w:cstheme="minorHAnsi"/>
                <w:lang w:val="fr-FR"/>
              </w:rPr>
              <w:t>Geen artikel.</w:t>
            </w:r>
          </w:p>
        </w:tc>
        <w:tc>
          <w:tcPr>
            <w:tcW w:w="5812" w:type="dxa"/>
            <w:shd w:val="clear" w:color="auto" w:fill="auto"/>
          </w:tcPr>
          <w:p w14:paraId="774459B8" w14:textId="204CBBC0" w:rsidR="001372D1" w:rsidRPr="00D41C14" w:rsidRDefault="001372D1" w:rsidP="00945353">
            <w:pPr>
              <w:spacing w:after="0" w:line="240" w:lineRule="auto"/>
              <w:jc w:val="both"/>
              <w:rPr>
                <w:rFonts w:cstheme="minorHAnsi"/>
                <w:lang w:val="fr-BE"/>
              </w:rPr>
            </w:pPr>
            <w:r>
              <w:rPr>
                <w:rFonts w:cstheme="minorHAnsi"/>
                <w:lang w:val="fr-BE"/>
              </w:rPr>
              <w:t>Pas d’article.</w:t>
            </w:r>
          </w:p>
        </w:tc>
      </w:tr>
      <w:tr w:rsidR="001372D1" w:rsidRPr="009D70F8" w14:paraId="334511A8" w14:textId="77777777" w:rsidTr="001372D1">
        <w:trPr>
          <w:trHeight w:val="395"/>
        </w:trPr>
        <w:tc>
          <w:tcPr>
            <w:tcW w:w="2122" w:type="dxa"/>
          </w:tcPr>
          <w:p w14:paraId="6BFF0FE9" w14:textId="77777777" w:rsidR="001372D1" w:rsidRPr="009D70F8" w:rsidRDefault="001372D1" w:rsidP="00945353">
            <w:pPr>
              <w:spacing w:after="0" w:line="240" w:lineRule="auto"/>
              <w:jc w:val="both"/>
              <w:rPr>
                <w:rFonts w:cs="Calibri"/>
                <w:lang w:val="fr-FR"/>
              </w:rPr>
            </w:pPr>
            <w:r>
              <w:rPr>
                <w:rFonts w:cs="Calibri"/>
                <w:lang w:val="fr-FR"/>
              </w:rPr>
              <w:t>Voorontwerp</w:t>
            </w:r>
          </w:p>
        </w:tc>
        <w:tc>
          <w:tcPr>
            <w:tcW w:w="5811" w:type="dxa"/>
            <w:shd w:val="clear" w:color="auto" w:fill="auto"/>
          </w:tcPr>
          <w:p w14:paraId="33124618" w14:textId="77777777" w:rsidR="001372D1" w:rsidRPr="009D70F8" w:rsidRDefault="001372D1" w:rsidP="00945353">
            <w:pPr>
              <w:spacing w:after="0" w:line="240" w:lineRule="auto"/>
              <w:jc w:val="both"/>
              <w:rPr>
                <w:rFonts w:cstheme="minorHAnsi"/>
                <w:lang w:val="fr-FR"/>
              </w:rPr>
            </w:pPr>
            <w:r>
              <w:rPr>
                <w:rFonts w:cstheme="minorHAnsi"/>
                <w:lang w:val="fr-FR"/>
              </w:rPr>
              <w:t>Geen artikel.</w:t>
            </w:r>
          </w:p>
        </w:tc>
        <w:tc>
          <w:tcPr>
            <w:tcW w:w="5812" w:type="dxa"/>
            <w:shd w:val="clear" w:color="auto" w:fill="auto"/>
          </w:tcPr>
          <w:p w14:paraId="5F17E8A6" w14:textId="77777777" w:rsidR="001372D1" w:rsidRPr="00D41C14" w:rsidRDefault="001372D1" w:rsidP="00945353">
            <w:pPr>
              <w:spacing w:after="0" w:line="240" w:lineRule="auto"/>
              <w:jc w:val="both"/>
              <w:rPr>
                <w:rFonts w:cstheme="minorHAnsi"/>
                <w:lang w:val="fr-BE"/>
              </w:rPr>
            </w:pPr>
            <w:r>
              <w:rPr>
                <w:rFonts w:cstheme="minorHAnsi"/>
                <w:lang w:val="fr-BE"/>
              </w:rPr>
              <w:t>Pas d’article.</w:t>
            </w:r>
          </w:p>
        </w:tc>
      </w:tr>
      <w:tr w:rsidR="001372D1" w:rsidRPr="009D70F8" w14:paraId="59D3C640" w14:textId="77777777" w:rsidTr="00446D1E">
        <w:trPr>
          <w:trHeight w:val="415"/>
        </w:trPr>
        <w:tc>
          <w:tcPr>
            <w:tcW w:w="2122" w:type="dxa"/>
          </w:tcPr>
          <w:p w14:paraId="66A8370A" w14:textId="77777777" w:rsidR="001372D1" w:rsidRPr="0014301E" w:rsidRDefault="001372D1" w:rsidP="00945353">
            <w:pPr>
              <w:spacing w:after="0" w:line="240" w:lineRule="auto"/>
              <w:jc w:val="both"/>
              <w:rPr>
                <w:rFonts w:cs="Calibri"/>
                <w:lang w:val="fr-FR"/>
              </w:rPr>
            </w:pPr>
            <w:r>
              <w:rPr>
                <w:rFonts w:cs="Calibri"/>
                <w:lang w:val="fr-FR"/>
              </w:rPr>
              <w:t>MvT</w:t>
            </w:r>
          </w:p>
        </w:tc>
        <w:tc>
          <w:tcPr>
            <w:tcW w:w="5811" w:type="dxa"/>
            <w:shd w:val="clear" w:color="auto" w:fill="auto"/>
          </w:tcPr>
          <w:p w14:paraId="5E546D92" w14:textId="77777777" w:rsidR="001372D1" w:rsidRPr="001348C4" w:rsidRDefault="001372D1" w:rsidP="00945353">
            <w:pPr>
              <w:spacing w:after="0"/>
            </w:pPr>
            <w:r>
              <w:t>Geen opmerkingen.</w:t>
            </w:r>
          </w:p>
        </w:tc>
        <w:tc>
          <w:tcPr>
            <w:tcW w:w="5812" w:type="dxa"/>
            <w:shd w:val="clear" w:color="auto" w:fill="auto"/>
          </w:tcPr>
          <w:p w14:paraId="67FC6C4D" w14:textId="77777777" w:rsidR="001372D1" w:rsidRDefault="001372D1" w:rsidP="00945353">
            <w:pPr>
              <w:spacing w:after="0"/>
            </w:pPr>
            <w:r>
              <w:t>Pas de remarques.</w:t>
            </w:r>
          </w:p>
        </w:tc>
      </w:tr>
      <w:tr w:rsidR="001372D1" w:rsidRPr="009D70F8" w14:paraId="45B60BCE" w14:textId="77777777" w:rsidTr="00945353">
        <w:trPr>
          <w:trHeight w:val="420"/>
        </w:trPr>
        <w:tc>
          <w:tcPr>
            <w:tcW w:w="2122" w:type="dxa"/>
          </w:tcPr>
          <w:p w14:paraId="2C695DE4" w14:textId="77777777" w:rsidR="001372D1" w:rsidRPr="0014301E" w:rsidRDefault="001372D1" w:rsidP="00945353">
            <w:pPr>
              <w:spacing w:after="0" w:line="240" w:lineRule="auto"/>
              <w:jc w:val="both"/>
              <w:rPr>
                <w:rFonts w:cs="Calibri"/>
                <w:lang w:val="fr-FR"/>
              </w:rPr>
            </w:pPr>
            <w:r>
              <w:rPr>
                <w:rFonts w:cs="Calibri"/>
                <w:lang w:val="fr-FR"/>
              </w:rPr>
              <w:t>RvSt</w:t>
            </w:r>
          </w:p>
        </w:tc>
        <w:tc>
          <w:tcPr>
            <w:tcW w:w="5811" w:type="dxa"/>
            <w:shd w:val="clear" w:color="auto" w:fill="auto"/>
          </w:tcPr>
          <w:p w14:paraId="6143C918" w14:textId="77777777" w:rsidR="001372D1" w:rsidRPr="001348C4" w:rsidRDefault="001372D1" w:rsidP="00945353">
            <w:pPr>
              <w:spacing w:after="0"/>
            </w:pPr>
            <w:r>
              <w:t>Geen opmerkingen.</w:t>
            </w:r>
          </w:p>
        </w:tc>
        <w:tc>
          <w:tcPr>
            <w:tcW w:w="5812" w:type="dxa"/>
            <w:shd w:val="clear" w:color="auto" w:fill="auto"/>
          </w:tcPr>
          <w:p w14:paraId="008692B0" w14:textId="77777777" w:rsidR="001372D1" w:rsidRDefault="001372D1" w:rsidP="00945353">
            <w:pPr>
              <w:spacing w:after="0"/>
            </w:pPr>
            <w:r>
              <w:t>Pas de remarques.</w:t>
            </w:r>
          </w:p>
        </w:tc>
      </w:tr>
      <w:tr w:rsidR="0095173E" w:rsidRPr="009D70F8" w14:paraId="1A713221" w14:textId="77777777" w:rsidTr="009C0C54">
        <w:trPr>
          <w:trHeight w:val="1709"/>
        </w:trPr>
        <w:tc>
          <w:tcPr>
            <w:tcW w:w="2122" w:type="dxa"/>
          </w:tcPr>
          <w:p w14:paraId="39023901" w14:textId="039CE3EC" w:rsidR="0095173E" w:rsidRDefault="0095173E" w:rsidP="009C0C54">
            <w:pPr>
              <w:pStyle w:val="Kop1"/>
              <w:rPr>
                <w:lang w:val="fr-FR"/>
              </w:rPr>
            </w:pPr>
            <w:bookmarkStart w:id="1" w:name="_Amendement_542"/>
            <w:bookmarkStart w:id="2" w:name="_Amendement_542_1"/>
            <w:bookmarkEnd w:id="1"/>
            <w:bookmarkEnd w:id="2"/>
            <w:r>
              <w:rPr>
                <w:lang w:val="fr-FR"/>
              </w:rPr>
              <w:lastRenderedPageBreak/>
              <w:t>Amendement 542</w:t>
            </w:r>
          </w:p>
        </w:tc>
        <w:tc>
          <w:tcPr>
            <w:tcW w:w="5811" w:type="dxa"/>
            <w:shd w:val="clear" w:color="auto" w:fill="auto"/>
          </w:tcPr>
          <w:p w14:paraId="25519CED" w14:textId="3B066FBF" w:rsidR="0095173E" w:rsidRPr="003F495A" w:rsidRDefault="003F495A" w:rsidP="003F495A">
            <w:pPr>
              <w:widowControl w:val="0"/>
              <w:autoSpaceDE w:val="0"/>
              <w:autoSpaceDN w:val="0"/>
              <w:adjustRightInd w:val="0"/>
              <w:spacing w:after="240" w:line="240" w:lineRule="auto"/>
              <w:jc w:val="both"/>
              <w:rPr>
                <w:rFonts w:cs="Times"/>
                <w:color w:val="000000"/>
                <w:lang w:val="nl-NL"/>
              </w:rPr>
            </w:pPr>
            <w:r w:rsidRPr="003F495A">
              <w:rPr>
                <w:rFonts w:cs="Times"/>
                <w:color w:val="000000"/>
                <w:lang w:val="nl-NL"/>
              </w:rPr>
              <w:t xml:space="preserve">De tekst is een overeenkomstige herneming van artikel 5:133, met dien verstande dat zij werd vervolledigd en aangepast voor die gevallen waarin de bevoegdheid tot uitgifte van nieuwe aandelen niet aan het bestuursorgaan toekomt. Paragraaf 4 is een overeenkomstige herneming van artikel 5:137,§1, tweede lid. </w:t>
            </w:r>
          </w:p>
        </w:tc>
        <w:tc>
          <w:tcPr>
            <w:tcW w:w="5812" w:type="dxa"/>
            <w:shd w:val="clear" w:color="auto" w:fill="auto"/>
          </w:tcPr>
          <w:p w14:paraId="279BDA41" w14:textId="77777777" w:rsidR="009C0C54" w:rsidRPr="009C0C54" w:rsidRDefault="009C0C54" w:rsidP="009C0C54">
            <w:pPr>
              <w:widowControl w:val="0"/>
              <w:autoSpaceDE w:val="0"/>
              <w:autoSpaceDN w:val="0"/>
              <w:adjustRightInd w:val="0"/>
              <w:spacing w:after="240" w:line="240" w:lineRule="auto"/>
              <w:jc w:val="both"/>
              <w:rPr>
                <w:rFonts w:cs="Times"/>
                <w:color w:val="000000"/>
                <w:lang w:val="fr-FR"/>
              </w:rPr>
            </w:pPr>
            <w:r w:rsidRPr="009C0C54">
              <w:rPr>
                <w:rFonts w:cs="Times"/>
                <w:color w:val="000000"/>
                <w:lang w:val="fr-FR"/>
              </w:rPr>
              <w:t>Le texte est une reprise conforme de l’article 5:133, étant entendu qu’il a été complété et modifié pour les cas dans lesquels la compétence d’émettre des nouvelles actions ne revient pas à l’organe d’administration. Le para- graphe 4 est une reprise conforme de l’article 5:137, § 1</w:t>
            </w:r>
            <w:r w:rsidRPr="009C0C54">
              <w:rPr>
                <w:rFonts w:cs="Times"/>
                <w:color w:val="000000"/>
                <w:position w:val="8"/>
                <w:lang w:val="fr-FR"/>
              </w:rPr>
              <w:t>er</w:t>
            </w:r>
            <w:r w:rsidRPr="009C0C54">
              <w:rPr>
                <w:rFonts w:cs="Times"/>
                <w:color w:val="000000"/>
                <w:lang w:val="fr-FR"/>
              </w:rPr>
              <w:t xml:space="preserve">, second alinéa. </w:t>
            </w:r>
          </w:p>
          <w:p w14:paraId="46FE0777" w14:textId="77777777" w:rsidR="0095173E" w:rsidRPr="009C0C54" w:rsidRDefault="0095173E" w:rsidP="00945353">
            <w:pPr>
              <w:spacing w:after="0"/>
              <w:rPr>
                <w:lang w:val="en-US"/>
              </w:rPr>
            </w:pPr>
          </w:p>
        </w:tc>
      </w:tr>
    </w:tbl>
    <w:p w14:paraId="73EFBB9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7C677" w14:textId="77777777" w:rsidR="00D80D8E" w:rsidRDefault="00D80D8E" w:rsidP="000D42B6">
      <w:pPr>
        <w:spacing w:after="0" w:line="240" w:lineRule="auto"/>
      </w:pPr>
      <w:r>
        <w:separator/>
      </w:r>
    </w:p>
  </w:endnote>
  <w:endnote w:type="continuationSeparator" w:id="0">
    <w:p w14:paraId="4FA5E850" w14:textId="77777777" w:rsidR="00D80D8E" w:rsidRDefault="00D80D8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2D62" w14:textId="77777777" w:rsidR="00D80D8E" w:rsidRDefault="00D80D8E" w:rsidP="000D42B6">
      <w:pPr>
        <w:spacing w:after="0" w:line="240" w:lineRule="auto"/>
      </w:pPr>
      <w:r>
        <w:separator/>
      </w:r>
    </w:p>
  </w:footnote>
  <w:footnote w:type="continuationSeparator" w:id="0">
    <w:p w14:paraId="13828AE4" w14:textId="77777777" w:rsidR="00D80D8E" w:rsidRDefault="00D80D8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684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372D1"/>
    <w:rsid w:val="0014301E"/>
    <w:rsid w:val="00144535"/>
    <w:rsid w:val="00153A4F"/>
    <w:rsid w:val="001777AA"/>
    <w:rsid w:val="00183242"/>
    <w:rsid w:val="001A0A02"/>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22343"/>
    <w:rsid w:val="00361C46"/>
    <w:rsid w:val="00392D3D"/>
    <w:rsid w:val="00393BDA"/>
    <w:rsid w:val="003A6021"/>
    <w:rsid w:val="003B05A2"/>
    <w:rsid w:val="003B77F3"/>
    <w:rsid w:val="003D46FE"/>
    <w:rsid w:val="003D55CF"/>
    <w:rsid w:val="003F495A"/>
    <w:rsid w:val="003F5AEA"/>
    <w:rsid w:val="004148F6"/>
    <w:rsid w:val="00417C7D"/>
    <w:rsid w:val="00427696"/>
    <w:rsid w:val="0044028C"/>
    <w:rsid w:val="00445434"/>
    <w:rsid w:val="00446D1E"/>
    <w:rsid w:val="00475FC8"/>
    <w:rsid w:val="00477E93"/>
    <w:rsid w:val="00482090"/>
    <w:rsid w:val="004C7924"/>
    <w:rsid w:val="00503582"/>
    <w:rsid w:val="00512C24"/>
    <w:rsid w:val="0052140A"/>
    <w:rsid w:val="005407B7"/>
    <w:rsid w:val="0054297A"/>
    <w:rsid w:val="00552278"/>
    <w:rsid w:val="00560C08"/>
    <w:rsid w:val="0056512F"/>
    <w:rsid w:val="0057031D"/>
    <w:rsid w:val="005974AD"/>
    <w:rsid w:val="005A0621"/>
    <w:rsid w:val="005B33B1"/>
    <w:rsid w:val="005E3A3F"/>
    <w:rsid w:val="005E4B0B"/>
    <w:rsid w:val="00614F96"/>
    <w:rsid w:val="006170A4"/>
    <w:rsid w:val="00630590"/>
    <w:rsid w:val="00642F57"/>
    <w:rsid w:val="00665133"/>
    <w:rsid w:val="006F2B94"/>
    <w:rsid w:val="007061E6"/>
    <w:rsid w:val="007316C7"/>
    <w:rsid w:val="0078377D"/>
    <w:rsid w:val="007A6A5E"/>
    <w:rsid w:val="007A7077"/>
    <w:rsid w:val="007B29A3"/>
    <w:rsid w:val="007D091B"/>
    <w:rsid w:val="007D19C2"/>
    <w:rsid w:val="008145E3"/>
    <w:rsid w:val="00860E15"/>
    <w:rsid w:val="00871559"/>
    <w:rsid w:val="008849AC"/>
    <w:rsid w:val="008A299A"/>
    <w:rsid w:val="008B2F1F"/>
    <w:rsid w:val="008D169B"/>
    <w:rsid w:val="00916F5F"/>
    <w:rsid w:val="00945353"/>
    <w:rsid w:val="00950791"/>
    <w:rsid w:val="00950DFB"/>
    <w:rsid w:val="0095173E"/>
    <w:rsid w:val="009662AF"/>
    <w:rsid w:val="00985EF6"/>
    <w:rsid w:val="009943DD"/>
    <w:rsid w:val="0099503B"/>
    <w:rsid w:val="009A33B9"/>
    <w:rsid w:val="009C0C54"/>
    <w:rsid w:val="009D1831"/>
    <w:rsid w:val="009D70F8"/>
    <w:rsid w:val="00A362F8"/>
    <w:rsid w:val="00A41BE3"/>
    <w:rsid w:val="00A46D88"/>
    <w:rsid w:val="00A5511C"/>
    <w:rsid w:val="00A667FE"/>
    <w:rsid w:val="00A97687"/>
    <w:rsid w:val="00AE3CA5"/>
    <w:rsid w:val="00AE5EE8"/>
    <w:rsid w:val="00B0539A"/>
    <w:rsid w:val="00B2273C"/>
    <w:rsid w:val="00B53841"/>
    <w:rsid w:val="00BA1A58"/>
    <w:rsid w:val="00BB0F3C"/>
    <w:rsid w:val="00BB4222"/>
    <w:rsid w:val="00BC15E6"/>
    <w:rsid w:val="00C23A95"/>
    <w:rsid w:val="00C418D3"/>
    <w:rsid w:val="00C43011"/>
    <w:rsid w:val="00C50F26"/>
    <w:rsid w:val="00C64210"/>
    <w:rsid w:val="00CC1091"/>
    <w:rsid w:val="00CE1421"/>
    <w:rsid w:val="00D40D5C"/>
    <w:rsid w:val="00D61286"/>
    <w:rsid w:val="00D80D8E"/>
    <w:rsid w:val="00D80E35"/>
    <w:rsid w:val="00D87CE4"/>
    <w:rsid w:val="00D9012C"/>
    <w:rsid w:val="00D96633"/>
    <w:rsid w:val="00DC54F2"/>
    <w:rsid w:val="00E17723"/>
    <w:rsid w:val="00E51E36"/>
    <w:rsid w:val="00E612FA"/>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6A9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C0C54"/>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E612F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C0C5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C0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FCEC-C894-5F43-A80B-B116120B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2217</Words>
  <Characters>12195</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127</cp:revision>
  <dcterms:created xsi:type="dcterms:W3CDTF">2019-10-18T10:25:00Z</dcterms:created>
  <dcterms:modified xsi:type="dcterms:W3CDTF">2021-10-06T08:20:00Z</dcterms:modified>
</cp:coreProperties>
</file>