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1D37EB1D" w14:textId="77777777" w:rsidTr="001F3D08">
        <w:tc>
          <w:tcPr>
            <w:tcW w:w="2122" w:type="dxa"/>
          </w:tcPr>
          <w:p w14:paraId="40E0302D" w14:textId="77777777" w:rsidR="000D42B6" w:rsidRPr="00B07AC9" w:rsidRDefault="001F3D08" w:rsidP="00577024">
            <w:pPr>
              <w:rPr>
                <w:b/>
                <w:sz w:val="32"/>
                <w:szCs w:val="32"/>
                <w:lang w:val="nl-BE"/>
              </w:rPr>
            </w:pPr>
            <w:r>
              <w:rPr>
                <w:b/>
                <w:sz w:val="32"/>
                <w:szCs w:val="32"/>
                <w:lang w:val="nl-BE"/>
              </w:rPr>
              <w:t xml:space="preserve">ARTIKEL </w:t>
            </w:r>
            <w:r w:rsidR="00076900">
              <w:rPr>
                <w:b/>
                <w:sz w:val="32"/>
                <w:szCs w:val="32"/>
                <w:lang w:val="nl-BE"/>
              </w:rPr>
              <w:t>6:</w:t>
            </w:r>
            <w:r w:rsidR="00821841">
              <w:rPr>
                <w:b/>
                <w:sz w:val="32"/>
                <w:szCs w:val="32"/>
                <w:lang w:val="nl-BE"/>
              </w:rPr>
              <w:t>11</w:t>
            </w:r>
            <w:r w:rsidR="003F5DE0">
              <w:rPr>
                <w:b/>
                <w:sz w:val="32"/>
                <w:szCs w:val="32"/>
                <w:lang w:val="nl-BE"/>
              </w:rPr>
              <w:t>9</w:t>
            </w:r>
          </w:p>
        </w:tc>
        <w:tc>
          <w:tcPr>
            <w:tcW w:w="11623" w:type="dxa"/>
            <w:gridSpan w:val="2"/>
            <w:shd w:val="clear" w:color="auto" w:fill="auto"/>
          </w:tcPr>
          <w:p w14:paraId="73A5082F" w14:textId="77777777" w:rsidR="000D42B6" w:rsidRPr="00382324" w:rsidRDefault="000D42B6" w:rsidP="00577024">
            <w:pPr>
              <w:rPr>
                <w:rFonts w:asciiTheme="majorHAnsi" w:eastAsiaTheme="majorEastAsia" w:hAnsiTheme="majorHAnsi" w:cstheme="majorBidi"/>
                <w:b/>
                <w:bCs/>
                <w:color w:val="2E74B5" w:themeColor="accent1" w:themeShade="BF"/>
                <w:sz w:val="32"/>
                <w:szCs w:val="28"/>
                <w:lang w:val="nl-BE"/>
              </w:rPr>
            </w:pPr>
          </w:p>
        </w:tc>
      </w:tr>
      <w:tr w:rsidR="00441E83" w:rsidRPr="00965CBC" w14:paraId="666069D8" w14:textId="77777777" w:rsidTr="006F7475">
        <w:tc>
          <w:tcPr>
            <w:tcW w:w="13745" w:type="dxa"/>
            <w:gridSpan w:val="3"/>
          </w:tcPr>
          <w:p w14:paraId="05436AB7" w14:textId="77777777" w:rsidR="00441E83" w:rsidRDefault="00441E83" w:rsidP="00441E8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661A448" w14:textId="77777777" w:rsidR="00441E83" w:rsidRDefault="00441E83" w:rsidP="00441E8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AE821AA" w14:textId="77777777" w:rsidR="00441E83" w:rsidRPr="00441E83" w:rsidRDefault="00441E83" w:rsidP="00441E83">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65CBC" w14:paraId="0696EAED" w14:textId="77777777" w:rsidTr="001F3D08">
        <w:tc>
          <w:tcPr>
            <w:tcW w:w="2122" w:type="dxa"/>
          </w:tcPr>
          <w:p w14:paraId="1BC983AC" w14:textId="77777777" w:rsidR="005B33B1" w:rsidRPr="00B07AC9" w:rsidRDefault="005B33B1" w:rsidP="00577024">
            <w:pPr>
              <w:rPr>
                <w:b/>
                <w:sz w:val="32"/>
                <w:szCs w:val="32"/>
                <w:lang w:val="nl-BE"/>
              </w:rPr>
            </w:pPr>
          </w:p>
        </w:tc>
        <w:tc>
          <w:tcPr>
            <w:tcW w:w="11623" w:type="dxa"/>
            <w:gridSpan w:val="2"/>
            <w:shd w:val="clear" w:color="auto" w:fill="auto"/>
          </w:tcPr>
          <w:p w14:paraId="1CCD2F29" w14:textId="77777777" w:rsidR="005B33B1" w:rsidRPr="00382324" w:rsidRDefault="005B33B1" w:rsidP="00577024">
            <w:pPr>
              <w:rPr>
                <w:rFonts w:asciiTheme="majorHAnsi" w:eastAsiaTheme="majorEastAsia" w:hAnsiTheme="majorHAnsi" w:cstheme="majorBidi"/>
                <w:b/>
                <w:bCs/>
                <w:color w:val="2E74B5" w:themeColor="accent1" w:themeShade="BF"/>
                <w:sz w:val="32"/>
                <w:szCs w:val="28"/>
                <w:lang w:val="nl-BE"/>
              </w:rPr>
            </w:pPr>
          </w:p>
        </w:tc>
      </w:tr>
      <w:tr w:rsidR="003F5DE0" w:rsidRPr="00577024" w14:paraId="20C1DA82" w14:textId="77777777" w:rsidTr="00577024">
        <w:trPr>
          <w:trHeight w:val="803"/>
        </w:trPr>
        <w:tc>
          <w:tcPr>
            <w:tcW w:w="2122" w:type="dxa"/>
          </w:tcPr>
          <w:p w14:paraId="66BF2DF5" w14:textId="77777777" w:rsidR="003F5DE0" w:rsidRDefault="003F5DE0" w:rsidP="00577024">
            <w:pPr>
              <w:spacing w:after="0" w:line="240" w:lineRule="auto"/>
              <w:jc w:val="both"/>
              <w:rPr>
                <w:rFonts w:cs="Calibri"/>
                <w:lang w:val="nl-BE"/>
              </w:rPr>
            </w:pPr>
            <w:r>
              <w:rPr>
                <w:rFonts w:cs="Calibri"/>
                <w:lang w:val="nl-BE"/>
              </w:rPr>
              <w:t>WVV</w:t>
            </w:r>
          </w:p>
        </w:tc>
        <w:tc>
          <w:tcPr>
            <w:tcW w:w="5811" w:type="dxa"/>
            <w:shd w:val="clear" w:color="auto" w:fill="auto"/>
          </w:tcPr>
          <w:p w14:paraId="4F53021E" w14:textId="7EA40D80" w:rsidR="003F5DE0" w:rsidRPr="006478CB" w:rsidRDefault="006478CB" w:rsidP="00577024">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3F5DE0" w:rsidRPr="006478CB">
              <w:rPr>
                <w:rStyle w:val="Hyperlink"/>
                <w:rFonts w:cstheme="minorHAnsi"/>
                <w:lang w:val="nl-NL"/>
              </w:rPr>
              <w:t>§ 1. Wanneer het nettoactief negatief dreigt te worden of is geworden, moet het bestuursorgaan de algemene vergadering, behoudens strengere bepalingen in de statuten, oproepen tot een vergadering, te houden binnen twee maanden na de datum waarop deze toestand werd vastgesteld of krachtens de wettelijke of statutaire bepalingen had moeten worden vastgesteld om te besluiten over de ontbinding van de vennootschap of over in de agenda aangekondigde maatregelen om de continuïteit van de vennootschap te vrijwaren.</w:t>
            </w:r>
          </w:p>
          <w:p w14:paraId="3E852B3D" w14:textId="77777777" w:rsidR="003F5DE0" w:rsidRPr="006478CB" w:rsidRDefault="003F5DE0" w:rsidP="00577024">
            <w:pPr>
              <w:pStyle w:val="Geenafstand"/>
              <w:jc w:val="both"/>
              <w:rPr>
                <w:rStyle w:val="Hyperlink"/>
                <w:rFonts w:cstheme="minorHAnsi"/>
                <w:lang w:val="nl-NL"/>
              </w:rPr>
            </w:pPr>
          </w:p>
          <w:p w14:paraId="15D8A40C" w14:textId="77777777" w:rsidR="003F5DE0" w:rsidRPr="006478CB" w:rsidRDefault="003F5DE0" w:rsidP="00577024">
            <w:pPr>
              <w:pStyle w:val="Geenafstand"/>
              <w:jc w:val="both"/>
              <w:rPr>
                <w:rStyle w:val="Hyperlink"/>
                <w:rFonts w:cstheme="minorHAnsi"/>
                <w:lang w:val="nl-NL"/>
              </w:rPr>
            </w:pPr>
            <w:r w:rsidRPr="006478CB">
              <w:rPr>
                <w:rStyle w:val="Hyperlink"/>
                <w:rFonts w:cstheme="minorHAnsi"/>
                <w:lang w:val="nl-NL"/>
              </w:rPr>
              <w:t>Tenzij het bestuursorgaan de ontbinding van de vennootschap voorstelt overeenkomstig artikel 6:125, zet het in een bijzonder verslag uiteen welke maatregelen het voorstelt om de continuïteit van de vennootschap te vrijwaren. Dat verslag wordt in de agenda vermeld. Een kopie ervan wordt verkregen overeenkomstig artikel 6:70, § 2.</w:t>
            </w:r>
          </w:p>
          <w:p w14:paraId="331A0E84" w14:textId="77777777" w:rsidR="003F5DE0" w:rsidRPr="006478CB" w:rsidRDefault="003F5DE0" w:rsidP="00577024">
            <w:pPr>
              <w:pStyle w:val="Geenafstand"/>
              <w:jc w:val="both"/>
              <w:rPr>
                <w:rStyle w:val="Hyperlink"/>
                <w:rFonts w:cstheme="minorHAnsi"/>
                <w:lang w:val="nl-NL"/>
              </w:rPr>
            </w:pPr>
          </w:p>
          <w:p w14:paraId="09ABB39A" w14:textId="77777777" w:rsidR="003F5DE0" w:rsidRPr="006478CB" w:rsidRDefault="003F5DE0" w:rsidP="00577024">
            <w:pPr>
              <w:pStyle w:val="Geenafstand"/>
              <w:jc w:val="both"/>
              <w:rPr>
                <w:rStyle w:val="Hyperlink"/>
                <w:rFonts w:cstheme="minorHAnsi"/>
                <w:lang w:val="nl-NL"/>
              </w:rPr>
            </w:pPr>
            <w:r w:rsidRPr="006478CB">
              <w:rPr>
                <w:rStyle w:val="Hyperlink"/>
                <w:rFonts w:cstheme="minorHAnsi"/>
                <w:lang w:val="nl-NL"/>
              </w:rPr>
              <w:t>Wanneer het verslag bedoeld in het tweede lid ontbreekt, is het besluit van de algemene vergadering nietig.</w:t>
            </w:r>
          </w:p>
          <w:p w14:paraId="1B15BFAA" w14:textId="77777777" w:rsidR="003F5DE0" w:rsidRPr="006478CB" w:rsidRDefault="003F5DE0" w:rsidP="00577024">
            <w:pPr>
              <w:pStyle w:val="Geenafstand"/>
              <w:jc w:val="both"/>
              <w:rPr>
                <w:rStyle w:val="Hyperlink"/>
                <w:rFonts w:cstheme="minorHAnsi"/>
                <w:lang w:val="nl-NL"/>
              </w:rPr>
            </w:pPr>
          </w:p>
          <w:p w14:paraId="2C669063" w14:textId="77777777" w:rsidR="003F5DE0" w:rsidRPr="006478CB" w:rsidRDefault="003F5DE0" w:rsidP="00577024">
            <w:pPr>
              <w:pStyle w:val="Geenafstand"/>
              <w:jc w:val="both"/>
              <w:rPr>
                <w:rStyle w:val="Hyperlink"/>
                <w:rFonts w:cstheme="minorHAnsi"/>
                <w:lang w:val="nl-NL"/>
              </w:rPr>
            </w:pPr>
            <w:r w:rsidRPr="006478CB">
              <w:rPr>
                <w:rStyle w:val="Hyperlink"/>
                <w:rFonts w:cstheme="minorHAnsi"/>
                <w:lang w:val="nl-NL"/>
              </w:rPr>
              <w:t xml:space="preserve">§ 2. Op dezelfde wijze als bedoeld in paragraaf 1 wordt gehandeld wanneer het bestuursorgaan vaststelt dat het niet langer vaststaat dat de vennootschap, volgens redelijkerwijs te </w:t>
            </w:r>
            <w:r w:rsidRPr="006478CB">
              <w:rPr>
                <w:rStyle w:val="Hyperlink"/>
                <w:rFonts w:cstheme="minorHAnsi"/>
                <w:lang w:val="nl-NL"/>
              </w:rPr>
              <w:lastRenderedPageBreak/>
              <w:t>verwachten ontwikkelingen, in staat zal zijn om gedurende minstens de twaalf volgende maanden haar schulden te voldoen naarmate deze opeisbaar worden.</w:t>
            </w:r>
          </w:p>
          <w:p w14:paraId="75BDDF35" w14:textId="77777777" w:rsidR="003F5DE0" w:rsidRPr="006478CB" w:rsidRDefault="003F5DE0" w:rsidP="00577024">
            <w:pPr>
              <w:pStyle w:val="Geenafstand"/>
              <w:jc w:val="both"/>
              <w:rPr>
                <w:rStyle w:val="Hyperlink"/>
                <w:rFonts w:cstheme="minorHAnsi"/>
                <w:lang w:val="nl-NL"/>
              </w:rPr>
            </w:pPr>
          </w:p>
          <w:p w14:paraId="1028EBC5" w14:textId="77777777" w:rsidR="003F5DE0" w:rsidRPr="006478CB" w:rsidRDefault="003F5DE0" w:rsidP="00577024">
            <w:pPr>
              <w:spacing w:after="0" w:line="240" w:lineRule="auto"/>
              <w:jc w:val="both"/>
              <w:rPr>
                <w:rStyle w:val="Hyperlink"/>
                <w:rFonts w:cstheme="minorHAnsi"/>
                <w:lang w:val="nl-NL"/>
              </w:rPr>
            </w:pPr>
            <w:r w:rsidRPr="006478CB">
              <w:rPr>
                <w:rStyle w:val="Hyperlink"/>
                <w:rFonts w:cstheme="minorHAnsi"/>
                <w:lang w:val="nl-NL"/>
              </w:rPr>
              <w:t>§ 3. Is de algemene vergadering niet overeenkomstig dit artikel bijeengeroepen, dan wordt de door derden geleden schade, behoudens tegenbewijs, geacht uit het ontbreken van een bijeenroeping voort te vloeien.</w:t>
            </w:r>
          </w:p>
          <w:p w14:paraId="0CE98D42" w14:textId="77777777" w:rsidR="003F5DE0" w:rsidRPr="006478CB" w:rsidRDefault="003F5DE0" w:rsidP="00577024">
            <w:pPr>
              <w:spacing w:after="0" w:line="240" w:lineRule="auto"/>
              <w:jc w:val="both"/>
              <w:rPr>
                <w:rStyle w:val="Hyperlink"/>
                <w:rFonts w:cstheme="minorHAnsi"/>
                <w:lang w:val="nl-NL"/>
              </w:rPr>
            </w:pPr>
          </w:p>
          <w:p w14:paraId="76DCC24A" w14:textId="5AA0741D" w:rsidR="003F5DE0" w:rsidRPr="00861ABD" w:rsidRDefault="003F5DE0" w:rsidP="00577024">
            <w:pPr>
              <w:spacing w:after="0" w:line="240" w:lineRule="auto"/>
              <w:jc w:val="both"/>
              <w:rPr>
                <w:rFonts w:cstheme="minorHAnsi"/>
                <w:lang w:val="nl-BE"/>
              </w:rPr>
            </w:pPr>
            <w:r w:rsidRPr="006478CB">
              <w:rPr>
                <w:rStyle w:val="Hyperlink"/>
                <w:rFonts w:cstheme="minorHAnsi"/>
                <w:lang w:val="nl-NL"/>
              </w:rPr>
              <w:t>§ 4. Nadat het bestuursorgaan de verplichtingen bedoeld in de paragrafen 1 en 2 een eerste maal heeft nageleefd, is het gedurende de twaalf maanden volgend op de aanvankelijke bijeenroeping niet meer verplicht de algemene vergadering om dezelfde reden opnieuw bijeen te roepen.</w:t>
            </w:r>
            <w:r w:rsidR="006478CB">
              <w:rPr>
                <w:rFonts w:cstheme="minorHAnsi"/>
                <w:lang w:val="nl-NL"/>
              </w:rPr>
              <w:fldChar w:fldCharType="end"/>
            </w:r>
          </w:p>
        </w:tc>
        <w:tc>
          <w:tcPr>
            <w:tcW w:w="5812" w:type="dxa"/>
            <w:shd w:val="clear" w:color="auto" w:fill="auto"/>
          </w:tcPr>
          <w:p w14:paraId="0E167C42" w14:textId="38ACFD24" w:rsidR="003F5DE0" w:rsidRPr="006478CB" w:rsidRDefault="006478CB" w:rsidP="00577024">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3F5DE0" w:rsidRPr="006478CB">
              <w:rPr>
                <w:rStyle w:val="Hyperlink"/>
                <w:rFonts w:cstheme="minorHAnsi"/>
                <w:lang w:val="fr-BE"/>
              </w:rPr>
              <w:t>§ 1</w:t>
            </w:r>
            <w:r w:rsidR="003F5DE0" w:rsidRPr="006478CB">
              <w:rPr>
                <w:rStyle w:val="Hyperlink"/>
                <w:rFonts w:cstheme="minorHAnsi"/>
                <w:vertAlign w:val="superscript"/>
                <w:lang w:val="fr-BE"/>
              </w:rPr>
              <w:t>er</w:t>
            </w:r>
            <w:r w:rsidR="00E20033" w:rsidRPr="006478CB">
              <w:rPr>
                <w:rStyle w:val="Hyperlink"/>
                <w:rFonts w:cstheme="minorHAnsi"/>
                <w:lang w:val="fr-BE"/>
              </w:rPr>
              <w:t>. Lorsque l'</w:t>
            </w:r>
            <w:r w:rsidR="003F5DE0" w:rsidRPr="006478CB">
              <w:rPr>
                <w:rStyle w:val="Hyperlink"/>
                <w:rFonts w:cstheme="minorHAnsi"/>
                <w:lang w:val="fr-BE"/>
              </w:rPr>
              <w:t>actif net risque de d</w:t>
            </w:r>
            <w:r w:rsidR="00E20033" w:rsidRPr="006478CB">
              <w:rPr>
                <w:rStyle w:val="Hyperlink"/>
                <w:rFonts w:cstheme="minorHAnsi"/>
                <w:lang w:val="fr-BE"/>
              </w:rPr>
              <w:t>evenir ou est devenu négatif, l'organe d'</w:t>
            </w:r>
            <w:r w:rsidR="003F5DE0" w:rsidRPr="006478CB">
              <w:rPr>
                <w:rStyle w:val="Hyperlink"/>
                <w:rFonts w:cstheme="minorHAnsi"/>
                <w:lang w:val="fr-BE"/>
              </w:rPr>
              <w:t>administration doit, sauf dispositions plus rigoureuse</w:t>
            </w:r>
            <w:r w:rsidR="00E20033" w:rsidRPr="006478CB">
              <w:rPr>
                <w:rStyle w:val="Hyperlink"/>
                <w:rFonts w:cstheme="minorHAnsi"/>
                <w:lang w:val="fr-BE"/>
              </w:rPr>
              <w:t>s dans les statuts, convoquer l'</w:t>
            </w:r>
            <w:r w:rsidR="003F5DE0" w:rsidRPr="006478CB">
              <w:rPr>
                <w:rStyle w:val="Hyperlink"/>
                <w:rFonts w:cstheme="minorHAnsi"/>
                <w:lang w:val="fr-BE"/>
              </w:rPr>
              <w:t>assemblée générale à une réunion à tenir dans les deux mois de la date à laquelle cette situation</w:t>
            </w:r>
            <w:r w:rsidR="00E20033" w:rsidRPr="006478CB">
              <w:rPr>
                <w:rStyle w:val="Hyperlink"/>
                <w:rFonts w:cstheme="minorHAnsi"/>
                <w:lang w:val="fr-BE"/>
              </w:rPr>
              <w:t xml:space="preserve"> a été constatée ou aurait dû l'</w:t>
            </w:r>
            <w:r w:rsidR="003F5DE0" w:rsidRPr="006478CB">
              <w:rPr>
                <w:rStyle w:val="Hyperlink"/>
                <w:rFonts w:cstheme="minorHAnsi"/>
                <w:lang w:val="fr-BE"/>
              </w:rPr>
              <w:t>être constatée en vertu des dispositions légales ou statutaires, en vue de décider de la dissolution de la société</w:t>
            </w:r>
            <w:r w:rsidR="00E20033" w:rsidRPr="006478CB">
              <w:rPr>
                <w:rStyle w:val="Hyperlink"/>
                <w:rFonts w:cstheme="minorHAnsi"/>
                <w:lang w:val="fr-BE"/>
              </w:rPr>
              <w:t xml:space="preserve"> ou de mesures annoncées dans l'ordre du jour afin d'</w:t>
            </w:r>
            <w:r w:rsidR="003F5DE0" w:rsidRPr="006478CB">
              <w:rPr>
                <w:rStyle w:val="Hyperlink"/>
                <w:rFonts w:cstheme="minorHAnsi"/>
                <w:lang w:val="fr-BE"/>
              </w:rPr>
              <w:t>assurer la continuité de la société.</w:t>
            </w:r>
          </w:p>
          <w:p w14:paraId="0FA9AEB2" w14:textId="77777777" w:rsidR="003F5DE0" w:rsidRPr="006478CB" w:rsidRDefault="003F5DE0" w:rsidP="00577024">
            <w:pPr>
              <w:pStyle w:val="Geenafstand"/>
              <w:jc w:val="both"/>
              <w:rPr>
                <w:rStyle w:val="Hyperlink"/>
                <w:rFonts w:cstheme="minorHAnsi"/>
                <w:lang w:val="fr-BE"/>
              </w:rPr>
            </w:pPr>
          </w:p>
          <w:p w14:paraId="7B9F9769" w14:textId="5E8C16DC" w:rsidR="003F5DE0" w:rsidRPr="006478CB" w:rsidRDefault="00E20033" w:rsidP="00577024">
            <w:pPr>
              <w:pStyle w:val="Geenafstand"/>
              <w:jc w:val="both"/>
              <w:rPr>
                <w:rStyle w:val="Hyperlink"/>
                <w:rFonts w:cstheme="minorHAnsi"/>
                <w:lang w:val="fr-BE"/>
              </w:rPr>
            </w:pPr>
            <w:r w:rsidRPr="006478CB">
              <w:rPr>
                <w:rStyle w:val="Hyperlink"/>
                <w:rFonts w:cstheme="minorHAnsi"/>
                <w:lang w:val="fr-BE"/>
              </w:rPr>
              <w:t>À moins que l'organe d'</w:t>
            </w:r>
            <w:r w:rsidR="003F5DE0" w:rsidRPr="006478CB">
              <w:rPr>
                <w:rStyle w:val="Hyperlink"/>
                <w:rFonts w:cstheme="minorHAnsi"/>
                <w:lang w:val="fr-BE"/>
              </w:rPr>
              <w:t>administration propose la dissolution</w:t>
            </w:r>
            <w:r w:rsidRPr="006478CB">
              <w:rPr>
                <w:rStyle w:val="Hyperlink"/>
                <w:rFonts w:cstheme="minorHAnsi"/>
                <w:lang w:val="fr-BE"/>
              </w:rPr>
              <w:t xml:space="preserve"> de la société conformément à l'</w:t>
            </w:r>
            <w:r w:rsidR="003F5DE0" w:rsidRPr="006478CB">
              <w:rPr>
                <w:rStyle w:val="Hyperlink"/>
                <w:rFonts w:cstheme="minorHAnsi"/>
                <w:lang w:val="fr-BE"/>
              </w:rPr>
              <w:t>article 6:125, il expose dans un</w:t>
            </w:r>
            <w:r w:rsidRPr="006478CB">
              <w:rPr>
                <w:rStyle w:val="Hyperlink"/>
                <w:rFonts w:cstheme="minorHAnsi"/>
                <w:lang w:val="fr-BE"/>
              </w:rPr>
              <w:t xml:space="preserve"> rapport spécial les mesures qu'</w:t>
            </w:r>
            <w:r w:rsidR="003F5DE0" w:rsidRPr="006478CB">
              <w:rPr>
                <w:rStyle w:val="Hyperlink"/>
                <w:rFonts w:cstheme="minorHAnsi"/>
                <w:lang w:val="fr-BE"/>
              </w:rPr>
              <w:t>il propose pour assurer la continuité de la société</w:t>
            </w:r>
            <w:r w:rsidRPr="006478CB">
              <w:rPr>
                <w:rStyle w:val="Hyperlink"/>
                <w:rFonts w:cstheme="minorHAnsi"/>
                <w:lang w:val="fr-BE"/>
              </w:rPr>
              <w:t>. Ce rapport est annoncé dans l'</w:t>
            </w:r>
            <w:r w:rsidR="003F5DE0" w:rsidRPr="006478CB">
              <w:rPr>
                <w:rStyle w:val="Hyperlink"/>
                <w:rFonts w:cstheme="minorHAnsi"/>
                <w:lang w:val="fr-BE"/>
              </w:rPr>
              <w:t>ordre du jour. Une copie peut e</w:t>
            </w:r>
            <w:r w:rsidRPr="006478CB">
              <w:rPr>
                <w:rStyle w:val="Hyperlink"/>
                <w:rFonts w:cstheme="minorHAnsi"/>
                <w:lang w:val="fr-BE"/>
              </w:rPr>
              <w:t>n être obtenue conformément à l'</w:t>
            </w:r>
            <w:r w:rsidR="003F5DE0" w:rsidRPr="006478CB">
              <w:rPr>
                <w:rStyle w:val="Hyperlink"/>
                <w:rFonts w:cstheme="minorHAnsi"/>
                <w:lang w:val="fr-BE"/>
              </w:rPr>
              <w:t>article 6:70, § 2.</w:t>
            </w:r>
          </w:p>
          <w:p w14:paraId="3480928D" w14:textId="77777777" w:rsidR="003F5DE0" w:rsidRPr="006478CB" w:rsidRDefault="003F5DE0" w:rsidP="00577024">
            <w:pPr>
              <w:pStyle w:val="Geenafstand"/>
              <w:jc w:val="both"/>
              <w:rPr>
                <w:rStyle w:val="Hyperlink"/>
                <w:rFonts w:cstheme="minorHAnsi"/>
                <w:lang w:val="fr-BE"/>
              </w:rPr>
            </w:pPr>
          </w:p>
          <w:p w14:paraId="43830B5B" w14:textId="167CCB21" w:rsidR="003F5DE0" w:rsidRPr="006478CB" w:rsidRDefault="00E20033" w:rsidP="00577024">
            <w:pPr>
              <w:pStyle w:val="Geenafstand"/>
              <w:jc w:val="both"/>
              <w:rPr>
                <w:rStyle w:val="Hyperlink"/>
                <w:rFonts w:cstheme="minorHAnsi"/>
                <w:lang w:val="fr-BE"/>
              </w:rPr>
            </w:pPr>
            <w:r w:rsidRPr="006478CB">
              <w:rPr>
                <w:rStyle w:val="Hyperlink"/>
                <w:rFonts w:cstheme="minorHAnsi"/>
                <w:lang w:val="fr-BE"/>
              </w:rPr>
              <w:t>En cas d'</w:t>
            </w:r>
            <w:r w:rsidR="003F5DE0" w:rsidRPr="006478CB">
              <w:rPr>
                <w:rStyle w:val="Hyperlink"/>
                <w:rFonts w:cstheme="minorHAnsi"/>
                <w:lang w:val="fr-BE"/>
              </w:rPr>
              <w:t>absence du rapport visé à l</w:t>
            </w:r>
            <w:r w:rsidRPr="006478CB">
              <w:rPr>
                <w:rStyle w:val="Hyperlink"/>
                <w:rFonts w:cstheme="minorHAnsi"/>
                <w:lang w:val="fr-BE"/>
              </w:rPr>
              <w:t>'alinéa 2, la décision de l'</w:t>
            </w:r>
            <w:r w:rsidR="003F5DE0" w:rsidRPr="006478CB">
              <w:rPr>
                <w:rStyle w:val="Hyperlink"/>
                <w:rFonts w:cstheme="minorHAnsi"/>
                <w:lang w:val="fr-BE"/>
              </w:rPr>
              <w:t>assemblée générale est nulle.</w:t>
            </w:r>
          </w:p>
          <w:p w14:paraId="15577DA0" w14:textId="77777777" w:rsidR="003F5DE0" w:rsidRPr="006478CB" w:rsidRDefault="003F5DE0" w:rsidP="00577024">
            <w:pPr>
              <w:pStyle w:val="Geenafstand"/>
              <w:jc w:val="both"/>
              <w:rPr>
                <w:rStyle w:val="Hyperlink"/>
                <w:rFonts w:cstheme="minorHAnsi"/>
                <w:lang w:val="fr-BE"/>
              </w:rPr>
            </w:pPr>
          </w:p>
          <w:p w14:paraId="587B1540" w14:textId="5C23CB1B" w:rsidR="003F5DE0" w:rsidRPr="006478CB" w:rsidRDefault="003F5DE0" w:rsidP="00577024">
            <w:pPr>
              <w:pStyle w:val="Geenafstand"/>
              <w:jc w:val="both"/>
              <w:rPr>
                <w:rStyle w:val="Hyperlink"/>
                <w:rFonts w:cstheme="minorHAnsi"/>
                <w:lang w:val="fr-BE"/>
              </w:rPr>
            </w:pPr>
            <w:r w:rsidRPr="006478CB">
              <w:rPr>
                <w:rStyle w:val="Hyperlink"/>
                <w:rFonts w:cstheme="minorHAnsi"/>
                <w:lang w:val="fr-BE"/>
              </w:rPr>
              <w:t>§ 2. Il est procédé de la même manière que celle visée au paragraphe 1</w:t>
            </w:r>
            <w:r w:rsidRPr="006478CB">
              <w:rPr>
                <w:rStyle w:val="Hyperlink"/>
                <w:rFonts w:cstheme="minorHAnsi"/>
                <w:vertAlign w:val="superscript"/>
                <w:lang w:val="fr-BE"/>
              </w:rPr>
              <w:t>er</w:t>
            </w:r>
            <w:r w:rsidR="00E20033" w:rsidRPr="006478CB">
              <w:rPr>
                <w:rStyle w:val="Hyperlink"/>
                <w:rFonts w:cstheme="minorHAnsi"/>
                <w:lang w:val="fr-BE"/>
              </w:rPr>
              <w:t xml:space="preserve"> lorsque l'organe d'administration constate qu'il n'</w:t>
            </w:r>
            <w:r w:rsidRPr="006478CB">
              <w:rPr>
                <w:rStyle w:val="Hyperlink"/>
                <w:rFonts w:cstheme="minorHAnsi"/>
                <w:lang w:val="fr-BE"/>
              </w:rPr>
              <w:t>est plus certain que la société, selon les développements auxquels on peu</w:t>
            </w:r>
            <w:r w:rsidR="00E20033" w:rsidRPr="006478CB">
              <w:rPr>
                <w:rStyle w:val="Hyperlink"/>
                <w:rFonts w:cstheme="minorHAnsi"/>
                <w:lang w:val="fr-BE"/>
              </w:rPr>
              <w:t xml:space="preserve">t raisonnablement s'attendre, sera en mesure </w:t>
            </w:r>
            <w:r w:rsidR="00E20033" w:rsidRPr="006478CB">
              <w:rPr>
                <w:rStyle w:val="Hyperlink"/>
                <w:rFonts w:cstheme="minorHAnsi"/>
                <w:lang w:val="fr-BE"/>
              </w:rPr>
              <w:lastRenderedPageBreak/>
              <w:t>de s'</w:t>
            </w:r>
            <w:r w:rsidRPr="006478CB">
              <w:rPr>
                <w:rStyle w:val="Hyperlink"/>
                <w:rFonts w:cstheme="minorHAnsi"/>
                <w:lang w:val="fr-BE"/>
              </w:rPr>
              <w:t>acquitter de ses dettes au fur et à mesure de leur échéance pendant au moins les douze mois suivants.</w:t>
            </w:r>
          </w:p>
          <w:p w14:paraId="04EB25F3" w14:textId="77777777" w:rsidR="003F5DE0" w:rsidRPr="006478CB" w:rsidRDefault="003F5DE0" w:rsidP="00577024">
            <w:pPr>
              <w:pStyle w:val="Geenafstand"/>
              <w:jc w:val="both"/>
              <w:rPr>
                <w:rStyle w:val="Hyperlink"/>
                <w:rFonts w:cstheme="minorHAnsi"/>
                <w:lang w:val="fr-BE"/>
              </w:rPr>
            </w:pPr>
          </w:p>
          <w:p w14:paraId="4C1B8BC1" w14:textId="22F8C9D0" w:rsidR="003F5DE0" w:rsidRPr="006478CB" w:rsidRDefault="00E20033" w:rsidP="00577024">
            <w:pPr>
              <w:spacing w:after="0" w:line="240" w:lineRule="auto"/>
              <w:jc w:val="both"/>
              <w:rPr>
                <w:rStyle w:val="Hyperlink"/>
                <w:rFonts w:cstheme="minorHAnsi"/>
                <w:lang w:val="fr-BE"/>
              </w:rPr>
            </w:pPr>
            <w:r w:rsidRPr="006478CB">
              <w:rPr>
                <w:rStyle w:val="Hyperlink"/>
                <w:rFonts w:cstheme="minorHAnsi"/>
                <w:lang w:val="fr-BE"/>
              </w:rPr>
              <w:t>§ 3. Lorsque l'assemblée générale n'</w:t>
            </w:r>
            <w:r w:rsidR="003F5DE0" w:rsidRPr="006478CB">
              <w:rPr>
                <w:rStyle w:val="Hyperlink"/>
                <w:rFonts w:cstheme="minorHAnsi"/>
                <w:lang w:val="fr-BE"/>
              </w:rPr>
              <w:t>a pas été convoquée conformément au présent article, le dommage subi par les tiers est, sauf preuve contraire, présumé résulter de cette absence de convocation.</w:t>
            </w:r>
          </w:p>
          <w:p w14:paraId="57CD58F5" w14:textId="77777777" w:rsidR="003F5DE0" w:rsidRPr="006478CB" w:rsidRDefault="003F5DE0" w:rsidP="00577024">
            <w:pPr>
              <w:spacing w:after="0" w:line="240" w:lineRule="auto"/>
              <w:jc w:val="both"/>
              <w:rPr>
                <w:rStyle w:val="Hyperlink"/>
                <w:rFonts w:cstheme="minorHAnsi"/>
                <w:lang w:val="fr-BE"/>
              </w:rPr>
            </w:pPr>
          </w:p>
          <w:p w14:paraId="7BDA93C7" w14:textId="4257983C" w:rsidR="003F5DE0" w:rsidRPr="006478CB" w:rsidRDefault="00E20033" w:rsidP="00577024">
            <w:pPr>
              <w:pStyle w:val="Geenafstand"/>
              <w:jc w:val="both"/>
              <w:rPr>
                <w:rStyle w:val="Hyperlink"/>
                <w:rFonts w:cstheme="minorHAnsi"/>
                <w:lang w:val="fr-BE"/>
              </w:rPr>
            </w:pPr>
            <w:r w:rsidRPr="006478CB">
              <w:rPr>
                <w:rStyle w:val="Hyperlink"/>
                <w:rFonts w:cstheme="minorHAnsi"/>
                <w:lang w:val="fr-BE"/>
              </w:rPr>
              <w:t>§ 4. Après que l'organe d'</w:t>
            </w:r>
            <w:r w:rsidR="003F5DE0" w:rsidRPr="006478CB">
              <w:rPr>
                <w:rStyle w:val="Hyperlink"/>
                <w:rFonts w:cstheme="minorHAnsi"/>
                <w:lang w:val="fr-BE"/>
              </w:rPr>
              <w:t>administration a rempli une première fois les obligations visées aux paragraphes 1</w:t>
            </w:r>
            <w:r w:rsidR="003F5DE0" w:rsidRPr="006478CB">
              <w:rPr>
                <w:rStyle w:val="Hyperlink"/>
                <w:rFonts w:cstheme="minorHAnsi"/>
                <w:vertAlign w:val="superscript"/>
                <w:lang w:val="fr-BE"/>
              </w:rPr>
              <w:t>er</w:t>
            </w:r>
            <w:r w:rsidRPr="006478CB">
              <w:rPr>
                <w:rStyle w:val="Hyperlink"/>
                <w:rFonts w:cstheme="minorHAnsi"/>
                <w:lang w:val="fr-BE"/>
              </w:rPr>
              <w:t xml:space="preserve"> et 2, il n'est plus tenu de convoquer l'</w:t>
            </w:r>
            <w:r w:rsidR="003F5DE0" w:rsidRPr="006478CB">
              <w:rPr>
                <w:rStyle w:val="Hyperlink"/>
                <w:rFonts w:cstheme="minorHAnsi"/>
                <w:lang w:val="fr-BE"/>
              </w:rPr>
              <w:t>assemblée générale pour les mêmes motifs pendant les douze mois suivant la convocation initiale.</w:t>
            </w:r>
          </w:p>
          <w:p w14:paraId="0B644543" w14:textId="6E79AE6D" w:rsidR="003F5DE0" w:rsidRPr="00791DE7" w:rsidRDefault="006478CB" w:rsidP="00577024">
            <w:pPr>
              <w:spacing w:after="0" w:line="240" w:lineRule="auto"/>
              <w:jc w:val="both"/>
              <w:rPr>
                <w:rFonts w:cstheme="minorHAnsi"/>
                <w:lang w:val="fr-BE"/>
              </w:rPr>
            </w:pPr>
            <w:r>
              <w:rPr>
                <w:rFonts w:cstheme="minorHAnsi"/>
                <w:lang w:val="fr-BE"/>
              </w:rPr>
              <w:fldChar w:fldCharType="end"/>
            </w:r>
            <w:bookmarkStart w:id="0" w:name="_GoBack"/>
            <w:bookmarkEnd w:id="0"/>
          </w:p>
        </w:tc>
      </w:tr>
      <w:tr w:rsidR="00E20033" w:rsidRPr="00577024" w14:paraId="2EB55B9E" w14:textId="77777777" w:rsidTr="00E20033">
        <w:trPr>
          <w:trHeight w:val="325"/>
        </w:trPr>
        <w:tc>
          <w:tcPr>
            <w:tcW w:w="2122" w:type="dxa"/>
          </w:tcPr>
          <w:p w14:paraId="7178694D" w14:textId="3D682407" w:rsidR="00E20033" w:rsidRDefault="00E20033" w:rsidP="00577024">
            <w:pPr>
              <w:spacing w:after="0" w:line="240" w:lineRule="auto"/>
              <w:jc w:val="both"/>
              <w:rPr>
                <w:rFonts w:cs="Calibri"/>
                <w:lang w:val="nl-BE"/>
              </w:rPr>
            </w:pPr>
            <w:r w:rsidRPr="004A5612">
              <w:lastRenderedPageBreak/>
              <w:t>Ontwerp</w:t>
            </w:r>
          </w:p>
        </w:tc>
        <w:tc>
          <w:tcPr>
            <w:tcW w:w="5811" w:type="dxa"/>
            <w:shd w:val="clear" w:color="auto" w:fill="auto"/>
          </w:tcPr>
          <w:p w14:paraId="336CA5CF" w14:textId="5F3AE82C" w:rsidR="00E20033" w:rsidRPr="00D41C14" w:rsidRDefault="00E20033" w:rsidP="00577024">
            <w:pPr>
              <w:spacing w:after="0" w:line="240" w:lineRule="auto"/>
              <w:jc w:val="both"/>
              <w:rPr>
                <w:rFonts w:cstheme="minorHAnsi"/>
                <w:lang w:val="nl-NL"/>
              </w:rPr>
            </w:pPr>
            <w:r w:rsidRPr="004A5612">
              <w:t>Geen artikel</w:t>
            </w:r>
            <w:r>
              <w:t>.</w:t>
            </w:r>
          </w:p>
        </w:tc>
        <w:tc>
          <w:tcPr>
            <w:tcW w:w="5812" w:type="dxa"/>
            <w:shd w:val="clear" w:color="auto" w:fill="auto"/>
          </w:tcPr>
          <w:p w14:paraId="6A21D355" w14:textId="71E9D2B2" w:rsidR="00E20033" w:rsidRPr="00D41C14" w:rsidRDefault="00E20033" w:rsidP="00577024">
            <w:pPr>
              <w:spacing w:after="0" w:line="240" w:lineRule="auto"/>
              <w:jc w:val="both"/>
              <w:rPr>
                <w:rFonts w:cstheme="minorHAnsi"/>
                <w:lang w:val="fr-BE"/>
              </w:rPr>
            </w:pPr>
            <w:r>
              <w:t>Pas d’article.</w:t>
            </w:r>
          </w:p>
        </w:tc>
      </w:tr>
      <w:tr w:rsidR="00E20033" w:rsidRPr="0080552D" w14:paraId="3D677BE4" w14:textId="77777777" w:rsidTr="00577024">
        <w:trPr>
          <w:trHeight w:val="411"/>
        </w:trPr>
        <w:tc>
          <w:tcPr>
            <w:tcW w:w="2122" w:type="dxa"/>
          </w:tcPr>
          <w:p w14:paraId="47E8656C" w14:textId="77777777" w:rsidR="00E20033" w:rsidRPr="0080552D" w:rsidRDefault="00E20033" w:rsidP="00577024">
            <w:pPr>
              <w:spacing w:after="0" w:line="240" w:lineRule="auto"/>
              <w:jc w:val="both"/>
              <w:rPr>
                <w:rFonts w:cs="Calibri"/>
                <w:lang w:val="fr-FR"/>
              </w:rPr>
            </w:pPr>
            <w:r>
              <w:rPr>
                <w:rFonts w:cs="Calibri"/>
                <w:lang w:val="fr-FR"/>
              </w:rPr>
              <w:t>Voorontwerp</w:t>
            </w:r>
          </w:p>
        </w:tc>
        <w:tc>
          <w:tcPr>
            <w:tcW w:w="5811" w:type="dxa"/>
            <w:shd w:val="clear" w:color="auto" w:fill="auto"/>
          </w:tcPr>
          <w:p w14:paraId="3987C2EA" w14:textId="77777777" w:rsidR="00E20033" w:rsidRPr="0080552D" w:rsidRDefault="00E20033" w:rsidP="00577024">
            <w:pPr>
              <w:spacing w:after="0" w:line="240" w:lineRule="auto"/>
              <w:jc w:val="both"/>
              <w:rPr>
                <w:rFonts w:cstheme="minorHAnsi"/>
                <w:lang w:val="fr-FR"/>
              </w:rPr>
            </w:pPr>
            <w:r>
              <w:rPr>
                <w:rFonts w:cstheme="minorHAnsi"/>
                <w:lang w:val="fr-FR"/>
              </w:rPr>
              <w:t>Geen artikel.</w:t>
            </w:r>
          </w:p>
        </w:tc>
        <w:tc>
          <w:tcPr>
            <w:tcW w:w="5812" w:type="dxa"/>
            <w:shd w:val="clear" w:color="auto" w:fill="auto"/>
          </w:tcPr>
          <w:p w14:paraId="284D6D51" w14:textId="77777777" w:rsidR="00E20033" w:rsidRPr="00D41C14" w:rsidRDefault="00E20033" w:rsidP="00577024">
            <w:pPr>
              <w:spacing w:after="0" w:line="240" w:lineRule="auto"/>
              <w:jc w:val="both"/>
              <w:rPr>
                <w:rFonts w:cstheme="minorHAnsi"/>
                <w:lang w:val="fr-BE"/>
              </w:rPr>
            </w:pPr>
            <w:r>
              <w:rPr>
                <w:rFonts w:cstheme="minorHAnsi"/>
                <w:lang w:val="fr-BE"/>
              </w:rPr>
              <w:t>Pas d’article.</w:t>
            </w:r>
          </w:p>
        </w:tc>
      </w:tr>
      <w:tr w:rsidR="00E20033" w:rsidRPr="0080552D" w14:paraId="702DFC8E" w14:textId="77777777" w:rsidTr="00577024">
        <w:trPr>
          <w:trHeight w:val="423"/>
        </w:trPr>
        <w:tc>
          <w:tcPr>
            <w:tcW w:w="2122" w:type="dxa"/>
          </w:tcPr>
          <w:p w14:paraId="223802F8" w14:textId="77777777" w:rsidR="00E20033" w:rsidRPr="004A5612" w:rsidRDefault="00E20033" w:rsidP="00577024">
            <w:pPr>
              <w:spacing w:after="0"/>
            </w:pPr>
            <w:r>
              <w:t>MvT</w:t>
            </w:r>
          </w:p>
        </w:tc>
        <w:tc>
          <w:tcPr>
            <w:tcW w:w="5811" w:type="dxa"/>
            <w:shd w:val="clear" w:color="auto" w:fill="auto"/>
          </w:tcPr>
          <w:p w14:paraId="59D69E63" w14:textId="77777777" w:rsidR="00E20033" w:rsidRPr="001348C4" w:rsidRDefault="00E20033" w:rsidP="00577024">
            <w:pPr>
              <w:spacing w:after="0"/>
            </w:pPr>
            <w:r>
              <w:t>Geen opmerkingen.</w:t>
            </w:r>
          </w:p>
        </w:tc>
        <w:tc>
          <w:tcPr>
            <w:tcW w:w="5812" w:type="dxa"/>
            <w:shd w:val="clear" w:color="auto" w:fill="auto"/>
          </w:tcPr>
          <w:p w14:paraId="198721F2" w14:textId="77777777" w:rsidR="00E20033" w:rsidRDefault="00E20033" w:rsidP="00577024">
            <w:pPr>
              <w:spacing w:after="0"/>
            </w:pPr>
            <w:r>
              <w:t>Pas de remarques.</w:t>
            </w:r>
          </w:p>
        </w:tc>
      </w:tr>
      <w:tr w:rsidR="00E20033" w:rsidRPr="0080552D" w14:paraId="126F2D74" w14:textId="77777777" w:rsidTr="00577024">
        <w:trPr>
          <w:trHeight w:val="374"/>
        </w:trPr>
        <w:tc>
          <w:tcPr>
            <w:tcW w:w="2122" w:type="dxa"/>
          </w:tcPr>
          <w:p w14:paraId="2F3EC3E8" w14:textId="77777777" w:rsidR="00E20033" w:rsidRPr="004A5612" w:rsidRDefault="00E20033" w:rsidP="00577024">
            <w:pPr>
              <w:spacing w:after="0"/>
            </w:pPr>
            <w:r>
              <w:t>RvSt</w:t>
            </w:r>
          </w:p>
        </w:tc>
        <w:tc>
          <w:tcPr>
            <w:tcW w:w="5811" w:type="dxa"/>
            <w:shd w:val="clear" w:color="auto" w:fill="auto"/>
          </w:tcPr>
          <w:p w14:paraId="15EE598D" w14:textId="77777777" w:rsidR="00E20033" w:rsidRPr="001348C4" w:rsidRDefault="00E20033" w:rsidP="00577024">
            <w:pPr>
              <w:spacing w:after="0"/>
            </w:pPr>
            <w:r>
              <w:t>Geen opmerkingen.</w:t>
            </w:r>
          </w:p>
        </w:tc>
        <w:tc>
          <w:tcPr>
            <w:tcW w:w="5812" w:type="dxa"/>
            <w:shd w:val="clear" w:color="auto" w:fill="auto"/>
          </w:tcPr>
          <w:p w14:paraId="73EE2786" w14:textId="77777777" w:rsidR="00E20033" w:rsidRDefault="00E20033" w:rsidP="00577024">
            <w:pPr>
              <w:spacing w:after="0"/>
            </w:pPr>
            <w:r>
              <w:t>Pas de remarques.</w:t>
            </w:r>
          </w:p>
        </w:tc>
      </w:tr>
      <w:tr w:rsidR="00965CBC" w:rsidRPr="006478CB" w14:paraId="645A7DD6" w14:textId="77777777" w:rsidTr="00577024">
        <w:trPr>
          <w:trHeight w:val="374"/>
        </w:trPr>
        <w:tc>
          <w:tcPr>
            <w:tcW w:w="2122" w:type="dxa"/>
          </w:tcPr>
          <w:p w14:paraId="511296E3" w14:textId="7E9A6C2E" w:rsidR="00965CBC" w:rsidRDefault="00965CBC" w:rsidP="006478CB">
            <w:pPr>
              <w:pStyle w:val="Kop1"/>
            </w:pPr>
            <w:bookmarkStart w:id="1" w:name="_Amendement_542"/>
            <w:bookmarkStart w:id="2" w:name="_Amendement_542_1"/>
            <w:bookmarkEnd w:id="1"/>
            <w:bookmarkEnd w:id="2"/>
            <w:r>
              <w:t>Amendement 542</w:t>
            </w:r>
          </w:p>
        </w:tc>
        <w:tc>
          <w:tcPr>
            <w:tcW w:w="5811" w:type="dxa"/>
            <w:shd w:val="clear" w:color="auto" w:fill="auto"/>
          </w:tcPr>
          <w:p w14:paraId="51336359" w14:textId="67745E69" w:rsidR="00965CBC" w:rsidRPr="006478CB" w:rsidRDefault="006478CB" w:rsidP="00577024">
            <w:pPr>
              <w:spacing w:after="0"/>
              <w:rPr>
                <w:lang w:val="nl-NL"/>
              </w:rPr>
            </w:pPr>
            <w:r w:rsidRPr="006478CB">
              <w:rPr>
                <w:lang w:val="nl-NL"/>
              </w:rPr>
              <w:t xml:space="preserve">De tekst is een overeenkomstige herneming van artikel 5:153. </w:t>
            </w:r>
          </w:p>
        </w:tc>
        <w:tc>
          <w:tcPr>
            <w:tcW w:w="5812" w:type="dxa"/>
            <w:shd w:val="clear" w:color="auto" w:fill="auto"/>
          </w:tcPr>
          <w:p w14:paraId="3B7721DA" w14:textId="68799446" w:rsidR="00965CBC" w:rsidRPr="006478CB" w:rsidRDefault="006478CB" w:rsidP="00577024">
            <w:pPr>
              <w:spacing w:after="0"/>
              <w:rPr>
                <w:lang w:val="fr-FR"/>
              </w:rPr>
            </w:pPr>
            <w:r w:rsidRPr="006478CB">
              <w:rPr>
                <w:lang w:val="fr-FR"/>
              </w:rPr>
              <w:t xml:space="preserve">Le texte est une reprise conforme de l’article </w:t>
            </w:r>
            <w:proofErr w:type="gramStart"/>
            <w:r w:rsidRPr="006478CB">
              <w:rPr>
                <w:lang w:val="fr-FR"/>
              </w:rPr>
              <w:t>5:</w:t>
            </w:r>
            <w:proofErr w:type="gramEnd"/>
            <w:r w:rsidRPr="006478CB">
              <w:rPr>
                <w:lang w:val="fr-FR"/>
              </w:rPr>
              <w:t xml:space="preserve">153. </w:t>
            </w:r>
          </w:p>
        </w:tc>
      </w:tr>
    </w:tbl>
    <w:p w14:paraId="4E2F72A9"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238B" w14:textId="77777777" w:rsidR="009F654B" w:rsidRDefault="009F654B" w:rsidP="000D42B6">
      <w:pPr>
        <w:spacing w:after="0" w:line="240" w:lineRule="auto"/>
      </w:pPr>
      <w:r>
        <w:separator/>
      </w:r>
    </w:p>
  </w:endnote>
  <w:endnote w:type="continuationSeparator" w:id="0">
    <w:p w14:paraId="62AE3E7C" w14:textId="77777777" w:rsidR="009F654B" w:rsidRDefault="009F654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58D0D" w14:textId="77777777" w:rsidR="009F654B" w:rsidRDefault="009F654B" w:rsidP="000D42B6">
      <w:pPr>
        <w:spacing w:after="0" w:line="240" w:lineRule="auto"/>
      </w:pPr>
      <w:r>
        <w:separator/>
      </w:r>
    </w:p>
  </w:footnote>
  <w:footnote w:type="continuationSeparator" w:id="0">
    <w:p w14:paraId="1FB583A9" w14:textId="77777777" w:rsidR="009F654B" w:rsidRDefault="009F654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FE2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2D7F"/>
    <w:rsid w:val="00183242"/>
    <w:rsid w:val="001A0A02"/>
    <w:rsid w:val="001C4D4C"/>
    <w:rsid w:val="001F3D08"/>
    <w:rsid w:val="001F6206"/>
    <w:rsid w:val="001F70DD"/>
    <w:rsid w:val="00200CB2"/>
    <w:rsid w:val="00202051"/>
    <w:rsid w:val="00220A3B"/>
    <w:rsid w:val="00266AFF"/>
    <w:rsid w:val="00272BA1"/>
    <w:rsid w:val="002A7546"/>
    <w:rsid w:val="002B16AC"/>
    <w:rsid w:val="002E07F4"/>
    <w:rsid w:val="002E2C50"/>
    <w:rsid w:val="002F3F41"/>
    <w:rsid w:val="00300269"/>
    <w:rsid w:val="00311F1A"/>
    <w:rsid w:val="00316F52"/>
    <w:rsid w:val="00322343"/>
    <w:rsid w:val="00361C46"/>
    <w:rsid w:val="00392D3D"/>
    <w:rsid w:val="00393BDA"/>
    <w:rsid w:val="003A6021"/>
    <w:rsid w:val="003B05A2"/>
    <w:rsid w:val="003B77F3"/>
    <w:rsid w:val="003D46FE"/>
    <w:rsid w:val="003D55CF"/>
    <w:rsid w:val="003F5AEA"/>
    <w:rsid w:val="003F5DE0"/>
    <w:rsid w:val="004148F6"/>
    <w:rsid w:val="00417C7D"/>
    <w:rsid w:val="00427696"/>
    <w:rsid w:val="0044028C"/>
    <w:rsid w:val="00441E83"/>
    <w:rsid w:val="00445434"/>
    <w:rsid w:val="00475FC8"/>
    <w:rsid w:val="00477E93"/>
    <w:rsid w:val="00482090"/>
    <w:rsid w:val="004C7924"/>
    <w:rsid w:val="004E5AD4"/>
    <w:rsid w:val="00503582"/>
    <w:rsid w:val="00512C24"/>
    <w:rsid w:val="0052140A"/>
    <w:rsid w:val="005407B7"/>
    <w:rsid w:val="0054297A"/>
    <w:rsid w:val="00552278"/>
    <w:rsid w:val="0055297F"/>
    <w:rsid w:val="00560C08"/>
    <w:rsid w:val="0056512F"/>
    <w:rsid w:val="0057031D"/>
    <w:rsid w:val="00577024"/>
    <w:rsid w:val="005974AD"/>
    <w:rsid w:val="005A0621"/>
    <w:rsid w:val="005B33B1"/>
    <w:rsid w:val="005E3A3F"/>
    <w:rsid w:val="005E4B0B"/>
    <w:rsid w:val="006170A4"/>
    <w:rsid w:val="00630590"/>
    <w:rsid w:val="00635FDC"/>
    <w:rsid w:val="00642F57"/>
    <w:rsid w:val="006478CB"/>
    <w:rsid w:val="00665133"/>
    <w:rsid w:val="006B24E0"/>
    <w:rsid w:val="006F2B94"/>
    <w:rsid w:val="007061E6"/>
    <w:rsid w:val="007316C7"/>
    <w:rsid w:val="0078377D"/>
    <w:rsid w:val="007A6A5E"/>
    <w:rsid w:val="007A7077"/>
    <w:rsid w:val="007B29A3"/>
    <w:rsid w:val="007B320D"/>
    <w:rsid w:val="007D091B"/>
    <w:rsid w:val="007D19C2"/>
    <w:rsid w:val="0080552D"/>
    <w:rsid w:val="008145E3"/>
    <w:rsid w:val="00821841"/>
    <w:rsid w:val="00860E15"/>
    <w:rsid w:val="00871559"/>
    <w:rsid w:val="008849AC"/>
    <w:rsid w:val="008A299A"/>
    <w:rsid w:val="008B2F1F"/>
    <w:rsid w:val="008D169B"/>
    <w:rsid w:val="00916F5F"/>
    <w:rsid w:val="00950791"/>
    <w:rsid w:val="00950DFB"/>
    <w:rsid w:val="00965CBC"/>
    <w:rsid w:val="009662AF"/>
    <w:rsid w:val="00985EF6"/>
    <w:rsid w:val="009943DD"/>
    <w:rsid w:val="0099503B"/>
    <w:rsid w:val="009A33B9"/>
    <w:rsid w:val="009D1831"/>
    <w:rsid w:val="009F654B"/>
    <w:rsid w:val="00A14E81"/>
    <w:rsid w:val="00A362F8"/>
    <w:rsid w:val="00A41BE3"/>
    <w:rsid w:val="00A46D88"/>
    <w:rsid w:val="00A5511C"/>
    <w:rsid w:val="00A667FE"/>
    <w:rsid w:val="00A97687"/>
    <w:rsid w:val="00AE3CA5"/>
    <w:rsid w:val="00AE5EE8"/>
    <w:rsid w:val="00B0539A"/>
    <w:rsid w:val="00B2273C"/>
    <w:rsid w:val="00B53841"/>
    <w:rsid w:val="00B94541"/>
    <w:rsid w:val="00BB0F3C"/>
    <w:rsid w:val="00BB4222"/>
    <w:rsid w:val="00BC15E6"/>
    <w:rsid w:val="00BD70F4"/>
    <w:rsid w:val="00C23A95"/>
    <w:rsid w:val="00C418D3"/>
    <w:rsid w:val="00C43011"/>
    <w:rsid w:val="00C50F26"/>
    <w:rsid w:val="00C64210"/>
    <w:rsid w:val="00CC1091"/>
    <w:rsid w:val="00CE1421"/>
    <w:rsid w:val="00D40D5C"/>
    <w:rsid w:val="00D61286"/>
    <w:rsid w:val="00D80E35"/>
    <w:rsid w:val="00D87CE4"/>
    <w:rsid w:val="00D9012C"/>
    <w:rsid w:val="00D96633"/>
    <w:rsid w:val="00DC54F2"/>
    <w:rsid w:val="00E17723"/>
    <w:rsid w:val="00E2003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37F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6478C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441E83"/>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6478C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647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BC35-1ED0-8347-A807-4095D47B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3628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135</cp:revision>
  <dcterms:created xsi:type="dcterms:W3CDTF">2019-10-18T10:25:00Z</dcterms:created>
  <dcterms:modified xsi:type="dcterms:W3CDTF">2021-10-06T09:17:00Z</dcterms:modified>
</cp:coreProperties>
</file>