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89"/>
        <w:gridCol w:w="5744"/>
        <w:gridCol w:w="5529"/>
        <w:gridCol w:w="283"/>
      </w:tblGrid>
      <w:tr w:rsidR="000D42B6" w:rsidRPr="000E32DA" w14:paraId="732E9EDB" w14:textId="77777777" w:rsidTr="003F5A4E">
        <w:tc>
          <w:tcPr>
            <w:tcW w:w="13462" w:type="dxa"/>
            <w:gridSpan w:val="3"/>
          </w:tcPr>
          <w:p w14:paraId="190628A0" w14:textId="77777777" w:rsidR="000D42B6" w:rsidRPr="00B07AC9" w:rsidRDefault="003F5A4E" w:rsidP="005A0621">
            <w:pPr>
              <w:rPr>
                <w:b/>
                <w:sz w:val="32"/>
                <w:szCs w:val="32"/>
                <w:lang w:val="nl-BE"/>
              </w:rPr>
            </w:pPr>
            <w:r w:rsidRPr="003F5A4E">
              <w:rPr>
                <w:b/>
                <w:sz w:val="32"/>
                <w:szCs w:val="32"/>
                <w:lang w:val="nl-BE"/>
              </w:rPr>
              <w:t>HOOFDSTUK 4. - Bekendmaking van het aantal aandelen, per soort.</w:t>
            </w:r>
          </w:p>
        </w:tc>
        <w:tc>
          <w:tcPr>
            <w:tcW w:w="283" w:type="dxa"/>
            <w:shd w:val="clear" w:color="auto" w:fill="auto"/>
          </w:tcPr>
          <w:p w14:paraId="1C513A19" w14:textId="77777777" w:rsidR="000D42B6" w:rsidRPr="006C170F" w:rsidRDefault="000D42B6" w:rsidP="006C170F">
            <w:pPr>
              <w:spacing w:after="0" w:line="240" w:lineRule="auto"/>
              <w:jc w:val="both"/>
              <w:rPr>
                <w:rFonts w:cstheme="minorHAnsi"/>
                <w:lang w:val="nl-BE"/>
              </w:rPr>
            </w:pPr>
          </w:p>
        </w:tc>
      </w:tr>
      <w:tr w:rsidR="00061650" w:rsidRPr="000E32DA" w14:paraId="7F685576" w14:textId="77777777" w:rsidTr="003F5A4E">
        <w:tc>
          <w:tcPr>
            <w:tcW w:w="13462" w:type="dxa"/>
            <w:gridSpan w:val="3"/>
          </w:tcPr>
          <w:p w14:paraId="60A399E2" w14:textId="77777777" w:rsidR="00061650" w:rsidRDefault="00061650" w:rsidP="00061650">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7F53636A" w14:textId="77777777" w:rsidR="00061650" w:rsidRDefault="00061650" w:rsidP="00061650">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63530D76" w14:textId="255CFA72" w:rsidR="00061650" w:rsidRPr="00061650" w:rsidRDefault="00061650" w:rsidP="00061650">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c>
          <w:tcPr>
            <w:tcW w:w="283" w:type="dxa"/>
            <w:shd w:val="clear" w:color="auto" w:fill="auto"/>
          </w:tcPr>
          <w:p w14:paraId="0438502C" w14:textId="77777777" w:rsidR="00061650" w:rsidRPr="006C170F" w:rsidRDefault="00061650" w:rsidP="006C170F">
            <w:pPr>
              <w:spacing w:after="0" w:line="240" w:lineRule="auto"/>
              <w:jc w:val="both"/>
              <w:rPr>
                <w:rFonts w:cstheme="minorHAnsi"/>
                <w:lang w:val="nl-BE"/>
              </w:rPr>
            </w:pPr>
          </w:p>
        </w:tc>
      </w:tr>
      <w:tr w:rsidR="005B33B1" w:rsidRPr="006C170F" w14:paraId="6927616F" w14:textId="77777777" w:rsidTr="003F5A4E">
        <w:tc>
          <w:tcPr>
            <w:tcW w:w="2189" w:type="dxa"/>
          </w:tcPr>
          <w:p w14:paraId="5E91263A" w14:textId="77777777" w:rsidR="005B33B1" w:rsidRPr="00B07AC9" w:rsidRDefault="006C170F" w:rsidP="000D42B6">
            <w:pPr>
              <w:rPr>
                <w:b/>
                <w:sz w:val="32"/>
                <w:szCs w:val="32"/>
                <w:lang w:val="nl-BE"/>
              </w:rPr>
            </w:pPr>
            <w:r w:rsidRPr="006C170F">
              <w:rPr>
                <w:b/>
                <w:sz w:val="32"/>
                <w:szCs w:val="32"/>
                <w:lang w:val="nl-BE"/>
              </w:rPr>
              <w:t>ARTIKEL 6:12</w:t>
            </w:r>
          </w:p>
        </w:tc>
        <w:tc>
          <w:tcPr>
            <w:tcW w:w="11556" w:type="dxa"/>
            <w:gridSpan w:val="3"/>
            <w:shd w:val="clear" w:color="auto" w:fill="auto"/>
          </w:tcPr>
          <w:p w14:paraId="017463DA"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3F5A4E" w:rsidRPr="006C170F" w14:paraId="53294402" w14:textId="77777777" w:rsidTr="003F5A4E">
        <w:tc>
          <w:tcPr>
            <w:tcW w:w="2189" w:type="dxa"/>
          </w:tcPr>
          <w:p w14:paraId="26D1C4DB" w14:textId="77777777" w:rsidR="003F5A4E" w:rsidRPr="006C170F" w:rsidRDefault="003F5A4E" w:rsidP="000D42B6">
            <w:pPr>
              <w:rPr>
                <w:b/>
                <w:sz w:val="32"/>
                <w:szCs w:val="32"/>
                <w:lang w:val="nl-BE"/>
              </w:rPr>
            </w:pPr>
          </w:p>
        </w:tc>
        <w:tc>
          <w:tcPr>
            <w:tcW w:w="11556" w:type="dxa"/>
            <w:gridSpan w:val="3"/>
            <w:shd w:val="clear" w:color="auto" w:fill="auto"/>
          </w:tcPr>
          <w:p w14:paraId="5879C938" w14:textId="77777777" w:rsidR="003F5A4E" w:rsidRPr="00382324" w:rsidRDefault="003F5A4E" w:rsidP="000D42B6">
            <w:pPr>
              <w:rPr>
                <w:rFonts w:asciiTheme="majorHAnsi" w:eastAsiaTheme="majorEastAsia" w:hAnsiTheme="majorHAnsi" w:cstheme="majorBidi"/>
                <w:b/>
                <w:bCs/>
                <w:color w:val="2E74B5" w:themeColor="accent1" w:themeShade="BF"/>
                <w:sz w:val="32"/>
                <w:szCs w:val="28"/>
                <w:lang w:val="nl-BE"/>
              </w:rPr>
            </w:pPr>
          </w:p>
        </w:tc>
      </w:tr>
      <w:tr w:rsidR="00FC1AA3" w:rsidRPr="00DC7039" w14:paraId="24028CD6" w14:textId="77777777" w:rsidTr="006B0A77">
        <w:trPr>
          <w:trHeight w:val="803"/>
        </w:trPr>
        <w:tc>
          <w:tcPr>
            <w:tcW w:w="2189" w:type="dxa"/>
          </w:tcPr>
          <w:p w14:paraId="7122D252" w14:textId="77777777" w:rsidR="00FC1AA3" w:rsidRDefault="00FC1AA3" w:rsidP="00FC1AA3">
            <w:pPr>
              <w:spacing w:after="0" w:line="240" w:lineRule="auto"/>
              <w:jc w:val="both"/>
              <w:rPr>
                <w:rFonts w:cs="Calibri"/>
                <w:lang w:val="nl-BE"/>
              </w:rPr>
            </w:pPr>
            <w:r>
              <w:rPr>
                <w:rFonts w:cs="Calibri"/>
                <w:lang w:val="nl-BE"/>
              </w:rPr>
              <w:t>WVV</w:t>
            </w:r>
          </w:p>
        </w:tc>
        <w:tc>
          <w:tcPr>
            <w:tcW w:w="5744" w:type="dxa"/>
            <w:shd w:val="clear" w:color="auto" w:fill="auto"/>
          </w:tcPr>
          <w:p w14:paraId="2BF35A44" w14:textId="0C571768" w:rsidR="001D4BC9" w:rsidRPr="00B87E62" w:rsidRDefault="00B87E62" w:rsidP="001D4BC9">
            <w:pPr>
              <w:spacing w:after="0" w:line="240" w:lineRule="auto"/>
              <w:jc w:val="both"/>
              <w:rPr>
                <w:rStyle w:val="Hyperlink"/>
                <w:rFonts w:cstheme="minorHAnsi"/>
                <w:bCs/>
                <w:lang w:val="nl-NL"/>
              </w:rPr>
            </w:pPr>
            <w:r>
              <w:rPr>
                <w:rFonts w:cstheme="minorHAnsi"/>
                <w:bCs/>
                <w:color w:val="000000" w:themeColor="text1"/>
                <w:lang w:val="nl-NL"/>
              </w:rPr>
              <w:fldChar w:fldCharType="begin"/>
            </w:r>
            <w:r>
              <w:rPr>
                <w:rFonts w:cstheme="minorHAnsi"/>
                <w:bCs/>
                <w:color w:val="000000" w:themeColor="text1"/>
                <w:lang w:val="nl-NL"/>
              </w:rPr>
              <w:instrText xml:space="preserve"> HYPERLINK  \l "_Amendement_542" </w:instrText>
            </w:r>
            <w:r>
              <w:rPr>
                <w:rFonts w:cstheme="minorHAnsi"/>
                <w:bCs/>
                <w:color w:val="000000" w:themeColor="text1"/>
                <w:lang w:val="nl-NL"/>
              </w:rPr>
            </w:r>
            <w:r>
              <w:rPr>
                <w:rFonts w:cstheme="minorHAnsi"/>
                <w:bCs/>
                <w:color w:val="000000" w:themeColor="text1"/>
                <w:lang w:val="nl-NL"/>
              </w:rPr>
              <w:fldChar w:fldCharType="separate"/>
            </w:r>
            <w:r w:rsidR="001D4BC9" w:rsidRPr="00B87E62">
              <w:rPr>
                <w:rStyle w:val="Hyperlink"/>
                <w:rFonts w:cstheme="minorHAnsi"/>
                <w:bCs/>
                <w:lang w:val="nl-NL"/>
              </w:rPr>
              <w:t>De vennootschap wordt opgericht bij authentieke akte, bij het verlijden waarvan alle aandeelhouders verschijnen, hetzij in persoon, hetzij door een houder van een authentieke of een onderhandse volmacht.</w:t>
            </w:r>
            <w:r w:rsidR="001D4BC9" w:rsidRPr="00B87E62">
              <w:rPr>
                <w:rStyle w:val="Hyperlink"/>
                <w:rFonts w:cstheme="minorHAnsi"/>
                <w:bCs/>
                <w:lang w:val="nl-NL"/>
              </w:rPr>
              <w:br/>
              <w:t>  </w:t>
            </w:r>
          </w:p>
          <w:p w14:paraId="4D555221" w14:textId="4FC546F1" w:rsidR="00FC1AA3" w:rsidRPr="001D4BC9" w:rsidRDefault="001D4BC9" w:rsidP="001D4BC9">
            <w:pPr>
              <w:spacing w:after="0" w:line="240" w:lineRule="auto"/>
              <w:jc w:val="both"/>
              <w:rPr>
                <w:rFonts w:cstheme="minorHAnsi"/>
                <w:color w:val="000000" w:themeColor="text1"/>
                <w:lang w:val="nl-NL"/>
              </w:rPr>
            </w:pPr>
            <w:r w:rsidRPr="00B87E62">
              <w:rPr>
                <w:rStyle w:val="Hyperlink"/>
                <w:rFonts w:cstheme="minorHAnsi"/>
                <w:bCs/>
                <w:lang w:val="nl-NL"/>
              </w:rPr>
              <w:t>Zij die bij de oprichtingsakte verschijnen, worden als oprichters van de vennootschap beschouwd. Indien evenwel de akte drie of meer aandeelhouders die samen ten minste een de</w:t>
            </w:r>
            <w:r w:rsidRPr="00B87E62">
              <w:rPr>
                <w:rStyle w:val="Hyperlink"/>
                <w:rFonts w:cstheme="minorHAnsi"/>
                <w:bCs/>
                <w:lang w:val="nl-NL"/>
              </w:rPr>
              <w:t>r</w:t>
            </w:r>
            <w:r w:rsidRPr="00B87E62">
              <w:rPr>
                <w:rStyle w:val="Hyperlink"/>
                <w:rFonts w:cstheme="minorHAnsi"/>
                <w:bCs/>
                <w:lang w:val="nl-NL"/>
              </w:rPr>
              <w:t xml:space="preserve">de van de aandelen bezitten, als oprichters aanwijst, worden de overige </w:t>
            </w:r>
            <w:proofErr w:type="spellStart"/>
            <w:r w:rsidRPr="00B87E62">
              <w:rPr>
                <w:rStyle w:val="Hyperlink"/>
                <w:rFonts w:cstheme="minorHAnsi"/>
                <w:bCs/>
                <w:lang w:val="nl-NL"/>
              </w:rPr>
              <w:t>verschijnenden</w:t>
            </w:r>
            <w:proofErr w:type="spellEnd"/>
            <w:r w:rsidRPr="00B87E62">
              <w:rPr>
                <w:rStyle w:val="Hyperlink"/>
                <w:rFonts w:cstheme="minorHAnsi"/>
                <w:bCs/>
                <w:lang w:val="nl-NL"/>
              </w:rPr>
              <w:t>, die zich beperken tot de inschrijving op aandelen tegen een inbreng in geld, zonder rechtstreeks of zijdelings enig bijzonder voordeel te genieten, als gewone inschrijvers beschouwd.</w:t>
            </w:r>
            <w:r w:rsidR="00B87E62">
              <w:rPr>
                <w:rFonts w:cstheme="minorHAnsi"/>
                <w:bCs/>
                <w:color w:val="000000" w:themeColor="text1"/>
                <w:lang w:val="nl-NL"/>
              </w:rPr>
              <w:fldChar w:fldCharType="end"/>
            </w:r>
          </w:p>
        </w:tc>
        <w:tc>
          <w:tcPr>
            <w:tcW w:w="5812" w:type="dxa"/>
            <w:gridSpan w:val="2"/>
            <w:shd w:val="clear" w:color="auto" w:fill="auto"/>
          </w:tcPr>
          <w:p w14:paraId="4AF69F72" w14:textId="1A36A245" w:rsidR="001D4BC9" w:rsidRPr="00B87E62" w:rsidRDefault="00B87E62" w:rsidP="001D4BC9">
            <w:pPr>
              <w:spacing w:line="240" w:lineRule="auto"/>
              <w:jc w:val="both"/>
              <w:rPr>
                <w:rStyle w:val="Hyperlink"/>
                <w:bCs/>
                <w:lang w:val="fr-FR"/>
              </w:rPr>
            </w:pPr>
            <w:r>
              <w:rPr>
                <w:bCs/>
                <w:lang w:val="fr-FR"/>
              </w:rPr>
              <w:fldChar w:fldCharType="begin"/>
            </w:r>
            <w:r>
              <w:rPr>
                <w:bCs/>
                <w:lang w:val="fr-FR"/>
              </w:rPr>
              <w:instrText xml:space="preserve"> HYPERLINK  \l "_Amendement_542_1" </w:instrText>
            </w:r>
            <w:r>
              <w:rPr>
                <w:bCs/>
                <w:lang w:val="fr-FR"/>
              </w:rPr>
            </w:r>
            <w:r>
              <w:rPr>
                <w:bCs/>
                <w:lang w:val="fr-FR"/>
              </w:rPr>
              <w:fldChar w:fldCharType="separate"/>
            </w:r>
            <w:r w:rsidR="001D4BC9" w:rsidRPr="00B87E62">
              <w:rPr>
                <w:rStyle w:val="Hyperlink"/>
                <w:bCs/>
                <w:lang w:val="fr-FR"/>
              </w:rPr>
              <w:t>La société est constituée par acte authentique auquel comparaissent tous les actionnaires en personne, ou par porteurs de mandats authentiques ou privés.</w:t>
            </w:r>
            <w:r w:rsidR="001D4BC9" w:rsidRPr="00B87E62">
              <w:rPr>
                <w:rStyle w:val="Hyperlink"/>
                <w:bCs/>
                <w:lang w:val="fr-FR"/>
              </w:rPr>
              <w:br/>
              <w:t>  </w:t>
            </w:r>
          </w:p>
          <w:p w14:paraId="403A9F6A" w14:textId="393D013B" w:rsidR="00FC1AA3" w:rsidRPr="001D4BC9" w:rsidRDefault="001D4BC9" w:rsidP="001D4BC9">
            <w:pPr>
              <w:spacing w:line="240" w:lineRule="auto"/>
              <w:jc w:val="both"/>
              <w:rPr>
                <w:lang w:val="fr-FR"/>
              </w:rPr>
            </w:pPr>
            <w:r w:rsidRPr="00B87E62">
              <w:rPr>
                <w:rStyle w:val="Hyperlink"/>
                <w:bCs/>
                <w:lang w:val="fr-FR"/>
              </w:rPr>
              <w:t>Les comparants à l'acte constitutif sont considérés comme fondateurs de la société. Toutefois, si l'acte désigne comme fondateurs un ou plusieurs actionnaires détenant ensemble au moins un tiers des actions, les autres comparants, qui se bornent à souscrire des actions contre un apport en numéraire, sans bénéficier, directement ou indirectement, d'un quelconque avantage particulier, sont tenus pour simples souscripteurs.</w:t>
            </w:r>
            <w:r w:rsidR="00B87E62">
              <w:rPr>
                <w:bCs/>
                <w:lang w:val="fr-FR"/>
              </w:rPr>
              <w:fldChar w:fldCharType="end"/>
            </w:r>
          </w:p>
        </w:tc>
      </w:tr>
      <w:tr w:rsidR="00376785" w:rsidRPr="00DC7039" w14:paraId="205283C8" w14:textId="77777777" w:rsidTr="00AF520B">
        <w:trPr>
          <w:trHeight w:val="325"/>
        </w:trPr>
        <w:tc>
          <w:tcPr>
            <w:tcW w:w="2189" w:type="dxa"/>
          </w:tcPr>
          <w:p w14:paraId="10E1B3BA" w14:textId="77777777" w:rsidR="00376785" w:rsidRDefault="00376785" w:rsidP="00887026">
            <w:pPr>
              <w:spacing w:after="0" w:line="240" w:lineRule="auto"/>
              <w:jc w:val="both"/>
              <w:rPr>
                <w:rFonts w:cs="Calibri"/>
                <w:lang w:val="fr-FR"/>
              </w:rPr>
            </w:pPr>
            <w:proofErr w:type="spellStart"/>
            <w:r>
              <w:rPr>
                <w:rFonts w:cs="Calibri"/>
                <w:lang w:val="fr-FR"/>
              </w:rPr>
              <w:t>Ontwerp</w:t>
            </w:r>
            <w:proofErr w:type="spellEnd"/>
          </w:p>
        </w:tc>
        <w:tc>
          <w:tcPr>
            <w:tcW w:w="5744" w:type="dxa"/>
            <w:shd w:val="clear" w:color="auto" w:fill="auto"/>
          </w:tcPr>
          <w:p w14:paraId="3DB8B313" w14:textId="63081BAE" w:rsidR="00376785" w:rsidRPr="006C170F" w:rsidRDefault="00AF520B" w:rsidP="00887026">
            <w:pPr>
              <w:spacing w:after="0" w:line="240" w:lineRule="auto"/>
              <w:jc w:val="both"/>
              <w:rPr>
                <w:rFonts w:cstheme="minorHAnsi"/>
                <w:lang w:val="nl-BE"/>
              </w:rPr>
            </w:pPr>
            <w:r>
              <w:rPr>
                <w:rFonts w:cstheme="minorHAnsi"/>
                <w:lang w:val="nl-BE"/>
              </w:rPr>
              <w:t>/</w:t>
            </w:r>
          </w:p>
        </w:tc>
        <w:tc>
          <w:tcPr>
            <w:tcW w:w="5812" w:type="dxa"/>
            <w:gridSpan w:val="2"/>
            <w:shd w:val="clear" w:color="auto" w:fill="auto"/>
          </w:tcPr>
          <w:p w14:paraId="71BAA4D5" w14:textId="23761BD5" w:rsidR="00376785" w:rsidRPr="006C170F" w:rsidRDefault="00AF520B" w:rsidP="00887026">
            <w:pPr>
              <w:spacing w:after="0" w:line="240" w:lineRule="auto"/>
              <w:jc w:val="both"/>
              <w:rPr>
                <w:rFonts w:cstheme="minorHAnsi"/>
                <w:lang w:val="fr-FR"/>
              </w:rPr>
            </w:pPr>
            <w:r>
              <w:rPr>
                <w:rFonts w:cstheme="minorHAnsi"/>
                <w:lang w:val="fr-FR"/>
              </w:rPr>
              <w:t>/</w:t>
            </w:r>
          </w:p>
        </w:tc>
      </w:tr>
      <w:tr w:rsidR="00376785" w:rsidRPr="00C77C29" w14:paraId="609ED735" w14:textId="77777777" w:rsidTr="006B0A77">
        <w:trPr>
          <w:trHeight w:val="323"/>
        </w:trPr>
        <w:tc>
          <w:tcPr>
            <w:tcW w:w="2189" w:type="dxa"/>
          </w:tcPr>
          <w:p w14:paraId="189641A3" w14:textId="77777777" w:rsidR="00376785" w:rsidRPr="00C77C29" w:rsidRDefault="00376785" w:rsidP="00FC1AA3">
            <w:pPr>
              <w:spacing w:after="0" w:line="240" w:lineRule="auto"/>
              <w:jc w:val="both"/>
              <w:rPr>
                <w:rFonts w:cs="Calibri"/>
                <w:lang w:val="fr-FR"/>
              </w:rPr>
            </w:pPr>
            <w:proofErr w:type="spellStart"/>
            <w:r>
              <w:rPr>
                <w:rFonts w:cs="Calibri"/>
                <w:lang w:val="fr-FR"/>
              </w:rPr>
              <w:t>Voorontwerp</w:t>
            </w:r>
            <w:proofErr w:type="spellEnd"/>
          </w:p>
        </w:tc>
        <w:tc>
          <w:tcPr>
            <w:tcW w:w="5744" w:type="dxa"/>
            <w:shd w:val="clear" w:color="auto" w:fill="auto"/>
          </w:tcPr>
          <w:p w14:paraId="5760C39C" w14:textId="77777777" w:rsidR="00376785" w:rsidRPr="00C77C29" w:rsidRDefault="00376785" w:rsidP="00FC1AA3">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812" w:type="dxa"/>
            <w:gridSpan w:val="2"/>
            <w:shd w:val="clear" w:color="auto" w:fill="auto"/>
          </w:tcPr>
          <w:p w14:paraId="363D16C2" w14:textId="77777777" w:rsidR="00376785" w:rsidRPr="00D41C14" w:rsidRDefault="00376785" w:rsidP="00FC1AA3">
            <w:pPr>
              <w:spacing w:after="0" w:line="240" w:lineRule="auto"/>
              <w:jc w:val="both"/>
              <w:rPr>
                <w:rFonts w:cstheme="minorHAnsi"/>
                <w:lang w:val="fr-BE"/>
              </w:rPr>
            </w:pPr>
            <w:r>
              <w:rPr>
                <w:rFonts w:cstheme="minorHAnsi"/>
                <w:lang w:val="fr-BE"/>
              </w:rPr>
              <w:t>Pas d’article.</w:t>
            </w:r>
          </w:p>
        </w:tc>
      </w:tr>
      <w:tr w:rsidR="00376785" w:rsidRPr="00DC7039" w14:paraId="62C1AABB" w14:textId="77777777" w:rsidTr="00B87E62">
        <w:trPr>
          <w:trHeight w:val="366"/>
        </w:trPr>
        <w:tc>
          <w:tcPr>
            <w:tcW w:w="2189" w:type="dxa"/>
          </w:tcPr>
          <w:p w14:paraId="48B2F813" w14:textId="77777777" w:rsidR="00376785" w:rsidRDefault="00376785" w:rsidP="00DC7039">
            <w:pPr>
              <w:spacing w:after="0" w:line="240" w:lineRule="auto"/>
              <w:jc w:val="both"/>
              <w:rPr>
                <w:rFonts w:cs="Calibri"/>
                <w:lang w:val="fr-FR"/>
              </w:rPr>
            </w:pPr>
            <w:proofErr w:type="spellStart"/>
            <w:r>
              <w:rPr>
                <w:rFonts w:cs="Calibri"/>
                <w:lang w:val="fr-FR"/>
              </w:rPr>
              <w:t>MvT</w:t>
            </w:r>
            <w:proofErr w:type="spellEnd"/>
          </w:p>
        </w:tc>
        <w:tc>
          <w:tcPr>
            <w:tcW w:w="5744" w:type="dxa"/>
            <w:shd w:val="clear" w:color="auto" w:fill="auto"/>
          </w:tcPr>
          <w:p w14:paraId="14E3D95B" w14:textId="45FCA09D" w:rsidR="00376785" w:rsidRPr="00DC7039" w:rsidRDefault="00B87E62" w:rsidP="00DC7039">
            <w:pPr>
              <w:spacing w:after="0" w:line="240" w:lineRule="auto"/>
              <w:jc w:val="both"/>
              <w:rPr>
                <w:lang w:val="nl-BE"/>
              </w:rPr>
            </w:pPr>
            <w:r>
              <w:rPr>
                <w:lang w:val="nl-BE"/>
              </w:rPr>
              <w:t>/</w:t>
            </w:r>
          </w:p>
        </w:tc>
        <w:tc>
          <w:tcPr>
            <w:tcW w:w="5812" w:type="dxa"/>
            <w:gridSpan w:val="2"/>
            <w:shd w:val="clear" w:color="auto" w:fill="auto"/>
          </w:tcPr>
          <w:p w14:paraId="0416337B" w14:textId="3601A1D0" w:rsidR="00376785" w:rsidRPr="00DC7039" w:rsidRDefault="00B87E62" w:rsidP="00DC7039">
            <w:pPr>
              <w:spacing w:after="0" w:line="240" w:lineRule="auto"/>
              <w:jc w:val="both"/>
              <w:rPr>
                <w:lang w:val="fr-FR"/>
              </w:rPr>
            </w:pPr>
            <w:r>
              <w:rPr>
                <w:lang w:val="fr-FR"/>
              </w:rPr>
              <w:t>/</w:t>
            </w:r>
          </w:p>
        </w:tc>
      </w:tr>
      <w:tr w:rsidR="00376785" w:rsidRPr="00507BDF" w14:paraId="485092EB" w14:textId="77777777" w:rsidTr="006B0A77">
        <w:trPr>
          <w:trHeight w:val="379"/>
        </w:trPr>
        <w:tc>
          <w:tcPr>
            <w:tcW w:w="2189" w:type="dxa"/>
          </w:tcPr>
          <w:p w14:paraId="3ABFB8DA" w14:textId="77777777" w:rsidR="00376785" w:rsidRDefault="00376785" w:rsidP="00507BDF">
            <w:pPr>
              <w:spacing w:after="0" w:line="240" w:lineRule="auto"/>
              <w:jc w:val="both"/>
              <w:rPr>
                <w:rFonts w:cs="Calibri"/>
                <w:lang w:val="fr-FR"/>
              </w:rPr>
            </w:pPr>
            <w:proofErr w:type="spellStart"/>
            <w:r>
              <w:rPr>
                <w:rFonts w:cs="Calibri"/>
                <w:lang w:val="fr-FR"/>
              </w:rPr>
              <w:t>Rvst</w:t>
            </w:r>
            <w:proofErr w:type="spellEnd"/>
          </w:p>
        </w:tc>
        <w:tc>
          <w:tcPr>
            <w:tcW w:w="5744" w:type="dxa"/>
            <w:shd w:val="clear" w:color="auto" w:fill="auto"/>
          </w:tcPr>
          <w:p w14:paraId="682352C4" w14:textId="77777777" w:rsidR="00376785" w:rsidRPr="00B566A5" w:rsidRDefault="00376785" w:rsidP="006B0A77">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812" w:type="dxa"/>
            <w:gridSpan w:val="2"/>
            <w:shd w:val="clear" w:color="auto" w:fill="auto"/>
          </w:tcPr>
          <w:p w14:paraId="2E2B25A9" w14:textId="77777777" w:rsidR="00376785" w:rsidRDefault="00376785" w:rsidP="006B0A77">
            <w:pPr>
              <w:spacing w:after="0"/>
            </w:pPr>
            <w:r w:rsidRPr="00B566A5">
              <w:t xml:space="preserve">Pas de </w:t>
            </w:r>
            <w:proofErr w:type="spellStart"/>
            <w:r w:rsidRPr="00B566A5">
              <w:t>remarques</w:t>
            </w:r>
            <w:proofErr w:type="spellEnd"/>
            <w:r>
              <w:t>.</w:t>
            </w:r>
          </w:p>
        </w:tc>
      </w:tr>
      <w:tr w:rsidR="000E32DA" w:rsidRPr="0004787E" w14:paraId="0D305689" w14:textId="77777777" w:rsidTr="006B0A77">
        <w:trPr>
          <w:trHeight w:val="379"/>
        </w:trPr>
        <w:tc>
          <w:tcPr>
            <w:tcW w:w="2189" w:type="dxa"/>
          </w:tcPr>
          <w:p w14:paraId="1240582F" w14:textId="127471E8" w:rsidR="000E32DA" w:rsidRDefault="000E32DA" w:rsidP="00B87E62">
            <w:pPr>
              <w:pStyle w:val="Kop1"/>
              <w:rPr>
                <w:lang w:val="fr-FR"/>
              </w:rPr>
            </w:pPr>
            <w:bookmarkStart w:id="0" w:name="_Amendement_542"/>
            <w:bookmarkStart w:id="1" w:name="_Amendement_542_1"/>
            <w:bookmarkStart w:id="2" w:name="_GoBack"/>
            <w:bookmarkEnd w:id="0"/>
            <w:bookmarkEnd w:id="1"/>
            <w:bookmarkEnd w:id="2"/>
            <w:r>
              <w:rPr>
                <w:lang w:val="fr-FR"/>
              </w:rPr>
              <w:lastRenderedPageBreak/>
              <w:t>Amendement 542</w:t>
            </w:r>
          </w:p>
        </w:tc>
        <w:tc>
          <w:tcPr>
            <w:tcW w:w="5744" w:type="dxa"/>
            <w:shd w:val="clear" w:color="auto" w:fill="auto"/>
          </w:tcPr>
          <w:p w14:paraId="4983AFBB" w14:textId="49113B7D" w:rsidR="000E32DA" w:rsidRPr="0004787E" w:rsidRDefault="0004787E" w:rsidP="0004787E">
            <w:pPr>
              <w:spacing w:after="0"/>
              <w:jc w:val="both"/>
              <w:rPr>
                <w:lang w:val="nl-NL"/>
              </w:rPr>
            </w:pPr>
            <w:r w:rsidRPr="0004787E">
              <w:rPr>
                <w:lang w:val="nl-NL"/>
              </w:rPr>
              <w:t xml:space="preserve">De tekst is die van artikel 5:11, met dien verstande dat minstens drie aandeelhouders de hoedanigheid van oprichter moeten bezitten, naar analogie met het </w:t>
            </w:r>
            <w:proofErr w:type="gramStart"/>
            <w:r w:rsidRPr="0004787E">
              <w:rPr>
                <w:lang w:val="nl-NL"/>
              </w:rPr>
              <w:t>minimum aantal</w:t>
            </w:r>
            <w:proofErr w:type="gramEnd"/>
            <w:r w:rsidRPr="0004787E">
              <w:rPr>
                <w:lang w:val="nl-NL"/>
              </w:rPr>
              <w:t xml:space="preserve"> oprichters. </w:t>
            </w:r>
          </w:p>
        </w:tc>
        <w:tc>
          <w:tcPr>
            <w:tcW w:w="5812" w:type="dxa"/>
            <w:gridSpan w:val="2"/>
            <w:shd w:val="clear" w:color="auto" w:fill="auto"/>
          </w:tcPr>
          <w:p w14:paraId="5BF97CA9" w14:textId="0C7B1287" w:rsidR="000E32DA" w:rsidRPr="0004787E" w:rsidRDefault="0004787E" w:rsidP="006B0A77">
            <w:pPr>
              <w:spacing w:after="0"/>
              <w:rPr>
                <w:lang w:val="fr-FR"/>
              </w:rPr>
            </w:pPr>
            <w:r w:rsidRPr="0004787E">
              <w:rPr>
                <w:lang w:val="fr-FR"/>
              </w:rPr>
              <w:t xml:space="preserve">Le texte est celui de l’article </w:t>
            </w:r>
            <w:proofErr w:type="gramStart"/>
            <w:r w:rsidRPr="0004787E">
              <w:rPr>
                <w:lang w:val="fr-FR"/>
              </w:rPr>
              <w:t>5:</w:t>
            </w:r>
            <w:proofErr w:type="gramEnd"/>
            <w:r w:rsidRPr="0004787E">
              <w:rPr>
                <w:lang w:val="fr-FR"/>
              </w:rPr>
              <w:t xml:space="preserve">11, étant entendu qu’au moins trois actionnaires doivent avoir la qualité de fon- dateur, par analogie avec le nombre minimum de fondateurs. </w:t>
            </w:r>
          </w:p>
        </w:tc>
      </w:tr>
    </w:tbl>
    <w:p w14:paraId="562128FF" w14:textId="77777777" w:rsidR="000D42B6" w:rsidRPr="006C170F" w:rsidRDefault="000D42B6">
      <w:pPr>
        <w:rPr>
          <w:lang w:val="fr-FR"/>
        </w:rPr>
      </w:pPr>
    </w:p>
    <w:sectPr w:rsidR="000D42B6" w:rsidRPr="006C170F"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895DF" w14:textId="77777777" w:rsidR="00AA11F5" w:rsidRDefault="00AA11F5" w:rsidP="000D42B6">
      <w:pPr>
        <w:spacing w:after="0" w:line="240" w:lineRule="auto"/>
      </w:pPr>
      <w:r>
        <w:separator/>
      </w:r>
    </w:p>
  </w:endnote>
  <w:endnote w:type="continuationSeparator" w:id="0">
    <w:p w14:paraId="763BF1BE" w14:textId="77777777" w:rsidR="00AA11F5" w:rsidRDefault="00AA11F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90C81" w14:textId="77777777" w:rsidR="00AA11F5" w:rsidRDefault="00AA11F5" w:rsidP="000D42B6">
      <w:pPr>
        <w:spacing w:after="0" w:line="240" w:lineRule="auto"/>
      </w:pPr>
      <w:r>
        <w:separator/>
      </w:r>
    </w:p>
  </w:footnote>
  <w:footnote w:type="continuationSeparator" w:id="0">
    <w:p w14:paraId="60256742" w14:textId="77777777" w:rsidR="00AA11F5" w:rsidRDefault="00AA11F5"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958B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45500"/>
    <w:rsid w:val="0004787E"/>
    <w:rsid w:val="00061650"/>
    <w:rsid w:val="000D42B6"/>
    <w:rsid w:val="000E32DA"/>
    <w:rsid w:val="001777AA"/>
    <w:rsid w:val="001D4BC9"/>
    <w:rsid w:val="00200CB2"/>
    <w:rsid w:val="00202051"/>
    <w:rsid w:val="00266AFF"/>
    <w:rsid w:val="00280ECD"/>
    <w:rsid w:val="00337724"/>
    <w:rsid w:val="00376785"/>
    <w:rsid w:val="00393BDA"/>
    <w:rsid w:val="003D46FE"/>
    <w:rsid w:val="003D55CF"/>
    <w:rsid w:val="003F5A4E"/>
    <w:rsid w:val="00417C7D"/>
    <w:rsid w:val="00427696"/>
    <w:rsid w:val="004F2878"/>
    <w:rsid w:val="00503582"/>
    <w:rsid w:val="00507BDF"/>
    <w:rsid w:val="00512C24"/>
    <w:rsid w:val="005407B7"/>
    <w:rsid w:val="00552278"/>
    <w:rsid w:val="005974AD"/>
    <w:rsid w:val="005A0621"/>
    <w:rsid w:val="005B33B1"/>
    <w:rsid w:val="006B0A77"/>
    <w:rsid w:val="006C170F"/>
    <w:rsid w:val="006F1802"/>
    <w:rsid w:val="00753F75"/>
    <w:rsid w:val="007A6A5E"/>
    <w:rsid w:val="008A299A"/>
    <w:rsid w:val="0099503B"/>
    <w:rsid w:val="00A41BE3"/>
    <w:rsid w:val="00A46D88"/>
    <w:rsid w:val="00A83886"/>
    <w:rsid w:val="00AA11F5"/>
    <w:rsid w:val="00AF520B"/>
    <w:rsid w:val="00B0539A"/>
    <w:rsid w:val="00B87E62"/>
    <w:rsid w:val="00BB0F3C"/>
    <w:rsid w:val="00C77C29"/>
    <w:rsid w:val="00DC54F2"/>
    <w:rsid w:val="00DC7039"/>
    <w:rsid w:val="00DE5368"/>
    <w:rsid w:val="00E17723"/>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2067"/>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B87E62"/>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paragraph" w:styleId="Lijstalinea">
    <w:name w:val="List Paragraph"/>
    <w:basedOn w:val="Standaard"/>
    <w:uiPriority w:val="34"/>
    <w:qFormat/>
    <w:rsid w:val="00061650"/>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B87E62"/>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B87E62"/>
    <w:rPr>
      <w:color w:val="0563C1" w:themeColor="hyperlink"/>
      <w:u w:val="single"/>
    </w:rPr>
  </w:style>
  <w:style w:type="character" w:styleId="GevolgdeHyperlink">
    <w:name w:val="FollowedHyperlink"/>
    <w:basedOn w:val="Standaardalinea-lettertype"/>
    <w:uiPriority w:val="99"/>
    <w:semiHidden/>
    <w:unhideWhenUsed/>
    <w:rsid w:val="00B87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3752">
      <w:bodyDiv w:val="1"/>
      <w:marLeft w:val="0"/>
      <w:marRight w:val="0"/>
      <w:marTop w:val="0"/>
      <w:marBottom w:val="0"/>
      <w:divBdr>
        <w:top w:val="none" w:sz="0" w:space="0" w:color="auto"/>
        <w:left w:val="none" w:sz="0" w:space="0" w:color="auto"/>
        <w:bottom w:val="none" w:sz="0" w:space="0" w:color="auto"/>
        <w:right w:val="none" w:sz="0" w:space="0" w:color="auto"/>
      </w:divBdr>
    </w:div>
    <w:div w:id="689717844">
      <w:bodyDiv w:val="1"/>
      <w:marLeft w:val="0"/>
      <w:marRight w:val="0"/>
      <w:marTop w:val="0"/>
      <w:marBottom w:val="0"/>
      <w:divBdr>
        <w:top w:val="none" w:sz="0" w:space="0" w:color="auto"/>
        <w:left w:val="none" w:sz="0" w:space="0" w:color="auto"/>
        <w:bottom w:val="none" w:sz="0" w:space="0" w:color="auto"/>
        <w:right w:val="none" w:sz="0" w:space="0" w:color="auto"/>
      </w:divBdr>
    </w:div>
    <w:div w:id="833645735">
      <w:bodyDiv w:val="1"/>
      <w:marLeft w:val="0"/>
      <w:marRight w:val="0"/>
      <w:marTop w:val="0"/>
      <w:marBottom w:val="0"/>
      <w:divBdr>
        <w:top w:val="none" w:sz="0" w:space="0" w:color="auto"/>
        <w:left w:val="none" w:sz="0" w:space="0" w:color="auto"/>
        <w:bottom w:val="none" w:sz="0" w:space="0" w:color="auto"/>
        <w:right w:val="none" w:sz="0" w:space="0" w:color="auto"/>
      </w:divBdr>
    </w:div>
    <w:div w:id="16631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CEE23-0CF9-E948-8061-BF62269F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351</Words>
  <Characters>1934</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31</cp:revision>
  <dcterms:created xsi:type="dcterms:W3CDTF">2019-10-18T10:25:00Z</dcterms:created>
  <dcterms:modified xsi:type="dcterms:W3CDTF">2021-10-05T08:59:00Z</dcterms:modified>
</cp:coreProperties>
</file>