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0A46BE4D" w14:textId="77777777" w:rsidTr="001F3D08">
        <w:tc>
          <w:tcPr>
            <w:tcW w:w="2122" w:type="dxa"/>
          </w:tcPr>
          <w:p w14:paraId="1AABA21F" w14:textId="77777777" w:rsidR="000D42B6" w:rsidRPr="00B07AC9" w:rsidRDefault="001F3D08" w:rsidP="00605F97">
            <w:pPr>
              <w:rPr>
                <w:b/>
                <w:sz w:val="32"/>
                <w:szCs w:val="32"/>
                <w:lang w:val="nl-BE"/>
              </w:rPr>
            </w:pPr>
            <w:r>
              <w:rPr>
                <w:b/>
                <w:sz w:val="32"/>
                <w:szCs w:val="32"/>
                <w:lang w:val="nl-BE"/>
              </w:rPr>
              <w:t xml:space="preserve">ARTIKEL </w:t>
            </w:r>
            <w:r w:rsidR="00076900">
              <w:rPr>
                <w:b/>
                <w:sz w:val="32"/>
                <w:szCs w:val="32"/>
                <w:lang w:val="nl-BE"/>
              </w:rPr>
              <w:t>6:</w:t>
            </w:r>
            <w:r w:rsidR="00382968">
              <w:rPr>
                <w:b/>
                <w:sz w:val="32"/>
                <w:szCs w:val="32"/>
                <w:lang w:val="nl-BE"/>
              </w:rPr>
              <w:t>124</w:t>
            </w:r>
          </w:p>
        </w:tc>
        <w:tc>
          <w:tcPr>
            <w:tcW w:w="11623" w:type="dxa"/>
            <w:gridSpan w:val="2"/>
            <w:shd w:val="clear" w:color="auto" w:fill="auto"/>
          </w:tcPr>
          <w:p w14:paraId="45773C07" w14:textId="77777777" w:rsidR="000D42B6" w:rsidRPr="00382324" w:rsidRDefault="000D42B6" w:rsidP="00605F97">
            <w:pPr>
              <w:rPr>
                <w:rFonts w:asciiTheme="majorHAnsi" w:eastAsiaTheme="majorEastAsia" w:hAnsiTheme="majorHAnsi" w:cstheme="majorBidi"/>
                <w:b/>
                <w:bCs/>
                <w:color w:val="2E74B5" w:themeColor="accent1" w:themeShade="BF"/>
                <w:sz w:val="32"/>
                <w:szCs w:val="28"/>
                <w:lang w:val="nl-BE"/>
              </w:rPr>
            </w:pPr>
          </w:p>
        </w:tc>
      </w:tr>
      <w:tr w:rsidR="001F597E" w:rsidRPr="00D97F26" w14:paraId="40F72260" w14:textId="77777777" w:rsidTr="00F5550F">
        <w:tc>
          <w:tcPr>
            <w:tcW w:w="13745" w:type="dxa"/>
            <w:gridSpan w:val="3"/>
          </w:tcPr>
          <w:p w14:paraId="56FF36B6" w14:textId="77777777" w:rsidR="001F597E" w:rsidRDefault="001F597E" w:rsidP="001F597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7E2BA70" w14:textId="77777777" w:rsidR="001F597E" w:rsidRDefault="001F597E" w:rsidP="001F597E">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01717C0" w14:textId="77777777" w:rsidR="001F597E" w:rsidRPr="00382324" w:rsidRDefault="001F597E" w:rsidP="00605F97">
            <w:pPr>
              <w:rPr>
                <w:rFonts w:asciiTheme="majorHAnsi" w:eastAsiaTheme="majorEastAsia" w:hAnsiTheme="majorHAnsi" w:cstheme="majorBidi"/>
                <w:b/>
                <w:bCs/>
                <w:color w:val="2E74B5" w:themeColor="accent1" w:themeShade="BF"/>
                <w:sz w:val="32"/>
                <w:szCs w:val="28"/>
                <w:lang w:val="nl-BE"/>
              </w:rPr>
            </w:pPr>
            <w:r w:rsidRPr="001F597E">
              <w:rPr>
                <w:rFonts w:ascii="Calibri" w:hAnsi="Calibri"/>
                <w:b/>
                <w:bCs/>
                <w:color w:val="000000"/>
                <w:lang w:val="nl-NL"/>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D97F26" w14:paraId="611247FF" w14:textId="77777777" w:rsidTr="001F3D08">
        <w:tc>
          <w:tcPr>
            <w:tcW w:w="2122" w:type="dxa"/>
          </w:tcPr>
          <w:p w14:paraId="63EEA001" w14:textId="77777777" w:rsidR="005B33B1" w:rsidRPr="00B07AC9" w:rsidRDefault="005B33B1" w:rsidP="00605F97">
            <w:pPr>
              <w:rPr>
                <w:b/>
                <w:sz w:val="32"/>
                <w:szCs w:val="32"/>
                <w:lang w:val="nl-BE"/>
              </w:rPr>
            </w:pPr>
          </w:p>
        </w:tc>
        <w:tc>
          <w:tcPr>
            <w:tcW w:w="11623" w:type="dxa"/>
            <w:gridSpan w:val="2"/>
            <w:shd w:val="clear" w:color="auto" w:fill="auto"/>
          </w:tcPr>
          <w:p w14:paraId="547D2C1D" w14:textId="77777777" w:rsidR="005B33B1" w:rsidRPr="00382324" w:rsidRDefault="005B33B1" w:rsidP="00605F97">
            <w:pPr>
              <w:rPr>
                <w:rFonts w:asciiTheme="majorHAnsi" w:eastAsiaTheme="majorEastAsia" w:hAnsiTheme="majorHAnsi" w:cstheme="majorBidi"/>
                <w:b/>
                <w:bCs/>
                <w:color w:val="2E74B5" w:themeColor="accent1" w:themeShade="BF"/>
                <w:sz w:val="32"/>
                <w:szCs w:val="28"/>
                <w:lang w:val="nl-BE"/>
              </w:rPr>
            </w:pPr>
          </w:p>
        </w:tc>
      </w:tr>
      <w:tr w:rsidR="00382968" w:rsidRPr="00D97F26" w14:paraId="07B48346" w14:textId="77777777" w:rsidTr="00605F97">
        <w:trPr>
          <w:trHeight w:val="803"/>
        </w:trPr>
        <w:tc>
          <w:tcPr>
            <w:tcW w:w="2122" w:type="dxa"/>
          </w:tcPr>
          <w:p w14:paraId="1560FE52" w14:textId="77777777" w:rsidR="00382968" w:rsidRDefault="00382968" w:rsidP="00605F97">
            <w:pPr>
              <w:spacing w:after="0" w:line="240" w:lineRule="auto"/>
              <w:jc w:val="both"/>
              <w:rPr>
                <w:rFonts w:cs="Calibri"/>
                <w:lang w:val="nl-BE"/>
              </w:rPr>
            </w:pPr>
            <w:r>
              <w:rPr>
                <w:rFonts w:cs="Calibri"/>
                <w:lang w:val="nl-BE"/>
              </w:rPr>
              <w:t>WVV</w:t>
            </w:r>
          </w:p>
        </w:tc>
        <w:tc>
          <w:tcPr>
            <w:tcW w:w="5670" w:type="dxa"/>
            <w:shd w:val="clear" w:color="auto" w:fill="auto"/>
          </w:tcPr>
          <w:p w14:paraId="45094CDB" w14:textId="10D2AB24" w:rsidR="00382968" w:rsidRPr="000A213B" w:rsidRDefault="001C0C90" w:rsidP="00605F97">
            <w:pPr>
              <w:spacing w:after="0" w:line="240" w:lineRule="auto"/>
              <w:jc w:val="both"/>
              <w:rPr>
                <w:rFonts w:cstheme="minorHAnsi"/>
                <w:szCs w:val="24"/>
                <w:lang w:val="nl-BE"/>
              </w:rPr>
            </w:pPr>
            <w:hyperlink w:anchor="_Amendement_542" w:history="1">
              <w:r w:rsidR="00382968" w:rsidRPr="001C0C90">
                <w:rPr>
                  <w:rStyle w:val="Hyperlink"/>
                  <w:rFonts w:cstheme="minorHAnsi"/>
                  <w:szCs w:val="24"/>
                  <w:lang w:val="nl-NL"/>
                </w:rPr>
                <w:t>Het jaarverslag, of, bij gebrek daaraan, een stuk dat samen met de jaarrekening moet worden neergelegd, vermeldt per soort het aantal uitstaande aandelen per einde van het boekjaar.</w:t>
              </w:r>
            </w:hyperlink>
          </w:p>
        </w:tc>
        <w:tc>
          <w:tcPr>
            <w:tcW w:w="5953" w:type="dxa"/>
            <w:shd w:val="clear" w:color="auto" w:fill="auto"/>
          </w:tcPr>
          <w:p w14:paraId="10D648D3" w14:textId="4C2FCF89" w:rsidR="00382968" w:rsidRPr="00382968" w:rsidRDefault="001C0C90" w:rsidP="00605F97">
            <w:pPr>
              <w:spacing w:after="0" w:line="240" w:lineRule="auto"/>
              <w:jc w:val="both"/>
              <w:rPr>
                <w:rFonts w:cstheme="minorHAnsi"/>
                <w:szCs w:val="24"/>
                <w:lang w:val="fr-FR"/>
              </w:rPr>
            </w:pPr>
            <w:hyperlink w:anchor="_Amendement_542_1" w:history="1">
              <w:r w:rsidR="00382968" w:rsidRPr="001C0C90">
                <w:rPr>
                  <w:rStyle w:val="Hyperlink"/>
                  <w:rFonts w:cstheme="minorHAnsi"/>
                  <w:szCs w:val="24"/>
                  <w:lang w:val="fr-BE"/>
                </w:rPr>
                <w:t>Le rapport de gestion, ou à défaut, un document à déposer en même temps que les comptes annuels, indique, par classe, le nombre d’actions en circulation à la fin de l’exercice.</w:t>
              </w:r>
            </w:hyperlink>
            <w:bookmarkStart w:id="0" w:name="_GoBack"/>
            <w:bookmarkEnd w:id="0"/>
          </w:p>
        </w:tc>
      </w:tr>
      <w:tr w:rsidR="004C1034" w:rsidRPr="004C1034" w14:paraId="12A5819B" w14:textId="77777777" w:rsidTr="004C1034">
        <w:trPr>
          <w:trHeight w:val="409"/>
        </w:trPr>
        <w:tc>
          <w:tcPr>
            <w:tcW w:w="2122" w:type="dxa"/>
          </w:tcPr>
          <w:p w14:paraId="2332EDF3" w14:textId="6E94A953" w:rsidR="004C1034" w:rsidRDefault="004C1034" w:rsidP="00605F97">
            <w:pPr>
              <w:spacing w:after="0" w:line="240" w:lineRule="auto"/>
              <w:jc w:val="both"/>
              <w:rPr>
                <w:rFonts w:cs="Calibri"/>
                <w:lang w:val="nl-BE"/>
              </w:rPr>
            </w:pPr>
            <w:proofErr w:type="spellStart"/>
            <w:r w:rsidRPr="0040592B">
              <w:t>Ontwerp</w:t>
            </w:r>
            <w:proofErr w:type="spellEnd"/>
          </w:p>
        </w:tc>
        <w:tc>
          <w:tcPr>
            <w:tcW w:w="5670" w:type="dxa"/>
            <w:shd w:val="clear" w:color="auto" w:fill="auto"/>
          </w:tcPr>
          <w:p w14:paraId="73DF49DB" w14:textId="5830C16D" w:rsidR="004C1034" w:rsidRPr="00D41C14" w:rsidRDefault="004C1034" w:rsidP="00605F97">
            <w:pPr>
              <w:spacing w:after="0" w:line="240" w:lineRule="auto"/>
              <w:jc w:val="both"/>
              <w:rPr>
                <w:rFonts w:cstheme="minorHAnsi"/>
                <w:szCs w:val="24"/>
                <w:lang w:val="nl-NL"/>
              </w:rPr>
            </w:pPr>
            <w:proofErr w:type="spellStart"/>
            <w:r w:rsidRPr="0040592B">
              <w:t>Geen</w:t>
            </w:r>
            <w:proofErr w:type="spellEnd"/>
            <w:r w:rsidRPr="0040592B">
              <w:t xml:space="preserve"> </w:t>
            </w:r>
            <w:proofErr w:type="spellStart"/>
            <w:r w:rsidRPr="0040592B">
              <w:t>artikel</w:t>
            </w:r>
            <w:proofErr w:type="spellEnd"/>
            <w:r>
              <w:t>.</w:t>
            </w:r>
          </w:p>
        </w:tc>
        <w:tc>
          <w:tcPr>
            <w:tcW w:w="5953" w:type="dxa"/>
            <w:shd w:val="clear" w:color="auto" w:fill="auto"/>
          </w:tcPr>
          <w:p w14:paraId="58215ACE" w14:textId="61794F22" w:rsidR="004C1034" w:rsidRPr="00D41C14" w:rsidRDefault="004C1034" w:rsidP="00605F97">
            <w:pPr>
              <w:spacing w:after="0" w:line="240" w:lineRule="auto"/>
              <w:jc w:val="both"/>
              <w:rPr>
                <w:rFonts w:cstheme="minorHAnsi"/>
                <w:szCs w:val="24"/>
                <w:lang w:val="fr-BE"/>
              </w:rPr>
            </w:pPr>
            <w:r>
              <w:t xml:space="preserve">Pas </w:t>
            </w:r>
            <w:proofErr w:type="spellStart"/>
            <w:r>
              <w:t>d’article</w:t>
            </w:r>
            <w:proofErr w:type="spellEnd"/>
            <w:r>
              <w:t>.</w:t>
            </w:r>
          </w:p>
        </w:tc>
      </w:tr>
      <w:tr w:rsidR="004C1034" w:rsidRPr="00D97F26" w14:paraId="1D15EDCF" w14:textId="77777777" w:rsidTr="00605F97">
        <w:trPr>
          <w:trHeight w:val="803"/>
        </w:trPr>
        <w:tc>
          <w:tcPr>
            <w:tcW w:w="2122" w:type="dxa"/>
          </w:tcPr>
          <w:p w14:paraId="331CC5E2" w14:textId="77777777" w:rsidR="004C1034" w:rsidRPr="001476D0" w:rsidRDefault="004C1034" w:rsidP="00605F97">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1E04471" w14:textId="77777777" w:rsidR="004C1034" w:rsidRPr="001476D0" w:rsidRDefault="004C1034" w:rsidP="00605F97">
            <w:pPr>
              <w:spacing w:after="0" w:line="240" w:lineRule="auto"/>
              <w:jc w:val="both"/>
              <w:rPr>
                <w:rFonts w:cstheme="minorHAnsi"/>
                <w:szCs w:val="24"/>
                <w:lang w:val="nl-BE"/>
              </w:rPr>
            </w:pPr>
            <w:r w:rsidRPr="001476D0">
              <w:rPr>
                <w:rFonts w:cstheme="minorHAnsi"/>
                <w:szCs w:val="24"/>
                <w:lang w:val="nl-BE"/>
              </w:rPr>
              <w:t>Art. 6:12. Het jaarverslag, of, bij gebrek daarvan, een stuk dat tegelijk met de jaarrekening moet worden neergelegd, vermeldt het aantal uitstaande aandelen per soort per einde van het boekjaar.</w:t>
            </w:r>
          </w:p>
        </w:tc>
        <w:tc>
          <w:tcPr>
            <w:tcW w:w="5953" w:type="dxa"/>
            <w:shd w:val="clear" w:color="auto" w:fill="auto"/>
          </w:tcPr>
          <w:p w14:paraId="43AE9EFB" w14:textId="77777777" w:rsidR="004C1034" w:rsidRPr="001476D0" w:rsidRDefault="004C1034" w:rsidP="00605F97">
            <w:pPr>
              <w:spacing w:after="0" w:line="240" w:lineRule="auto"/>
              <w:jc w:val="both"/>
              <w:rPr>
                <w:rFonts w:cstheme="minorHAnsi"/>
                <w:szCs w:val="24"/>
                <w:lang w:val="fr-FR"/>
              </w:rPr>
            </w:pPr>
            <w:r w:rsidRPr="001476D0">
              <w:rPr>
                <w:rFonts w:cstheme="minorHAnsi"/>
                <w:szCs w:val="24"/>
                <w:lang w:val="fr-FR"/>
              </w:rPr>
              <w:t xml:space="preserve">Art. </w:t>
            </w:r>
            <w:proofErr w:type="gramStart"/>
            <w:r w:rsidRPr="001476D0">
              <w:rPr>
                <w:rFonts w:cstheme="minorHAnsi"/>
                <w:szCs w:val="24"/>
                <w:lang w:val="fr-FR"/>
              </w:rPr>
              <w:t>6:</w:t>
            </w:r>
            <w:proofErr w:type="gramEnd"/>
            <w:r w:rsidRPr="001476D0">
              <w:rPr>
                <w:rFonts w:cstheme="minorHAnsi"/>
                <w:szCs w:val="24"/>
                <w:lang w:val="fr-FR"/>
              </w:rPr>
              <w:t>12. Le rapport de gestion, ou à défaut, un document à déposer en même temps que les comptes annuels, indique le nombre d'actions en circulation par classe à la fin de l’exercice.</w:t>
            </w:r>
          </w:p>
        </w:tc>
      </w:tr>
      <w:tr w:rsidR="004C1034" w:rsidRPr="00DB03B9" w14:paraId="560D2AD1" w14:textId="77777777" w:rsidTr="00605F97">
        <w:trPr>
          <w:trHeight w:val="391"/>
        </w:trPr>
        <w:tc>
          <w:tcPr>
            <w:tcW w:w="2122" w:type="dxa"/>
          </w:tcPr>
          <w:p w14:paraId="60BEF07E" w14:textId="77777777" w:rsidR="004C1034" w:rsidRPr="0040592B" w:rsidRDefault="004C1034" w:rsidP="00605F97">
            <w:pPr>
              <w:spacing w:after="0"/>
            </w:pPr>
            <w:proofErr w:type="spellStart"/>
            <w:r>
              <w:t>MvT</w:t>
            </w:r>
            <w:proofErr w:type="spellEnd"/>
          </w:p>
        </w:tc>
        <w:tc>
          <w:tcPr>
            <w:tcW w:w="5670" w:type="dxa"/>
            <w:shd w:val="clear" w:color="auto" w:fill="auto"/>
          </w:tcPr>
          <w:p w14:paraId="181CF0A3" w14:textId="77777777" w:rsidR="004C1034" w:rsidRPr="0040592B" w:rsidRDefault="004C1034" w:rsidP="00605F97">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9484F0B" w14:textId="77777777" w:rsidR="004C1034" w:rsidRDefault="004C1034" w:rsidP="00605F97">
            <w:pPr>
              <w:spacing w:after="0"/>
            </w:pPr>
            <w:r>
              <w:t xml:space="preserve">Pas de </w:t>
            </w:r>
            <w:proofErr w:type="spellStart"/>
            <w:r>
              <w:t>remarques</w:t>
            </w:r>
            <w:proofErr w:type="spellEnd"/>
            <w:r>
              <w:t>.</w:t>
            </w:r>
          </w:p>
        </w:tc>
      </w:tr>
      <w:tr w:rsidR="004C1034" w:rsidRPr="00DB03B9" w14:paraId="4114E4ED" w14:textId="77777777" w:rsidTr="00605F97">
        <w:trPr>
          <w:trHeight w:val="404"/>
        </w:trPr>
        <w:tc>
          <w:tcPr>
            <w:tcW w:w="2122" w:type="dxa"/>
          </w:tcPr>
          <w:p w14:paraId="52307B40" w14:textId="77777777" w:rsidR="004C1034" w:rsidRPr="0040592B" w:rsidRDefault="004C1034" w:rsidP="00605F97">
            <w:pPr>
              <w:spacing w:after="0"/>
            </w:pPr>
            <w:proofErr w:type="spellStart"/>
            <w:r>
              <w:t>RvSt</w:t>
            </w:r>
            <w:proofErr w:type="spellEnd"/>
          </w:p>
        </w:tc>
        <w:tc>
          <w:tcPr>
            <w:tcW w:w="5670" w:type="dxa"/>
            <w:shd w:val="clear" w:color="auto" w:fill="auto"/>
          </w:tcPr>
          <w:p w14:paraId="28F53299" w14:textId="77777777" w:rsidR="004C1034" w:rsidRPr="0040592B" w:rsidRDefault="004C1034" w:rsidP="00605F97">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1A2E415" w14:textId="77777777" w:rsidR="004C1034" w:rsidRDefault="004C1034" w:rsidP="00605F97">
            <w:pPr>
              <w:spacing w:after="0"/>
            </w:pPr>
            <w:r>
              <w:t xml:space="preserve">Pas de </w:t>
            </w:r>
            <w:proofErr w:type="spellStart"/>
            <w:r>
              <w:t>remarques</w:t>
            </w:r>
            <w:proofErr w:type="spellEnd"/>
            <w:r>
              <w:t>.</w:t>
            </w:r>
          </w:p>
        </w:tc>
      </w:tr>
      <w:tr w:rsidR="00D97F26" w:rsidRPr="001C0C90" w14:paraId="68798126" w14:textId="77777777" w:rsidTr="00605F97">
        <w:trPr>
          <w:trHeight w:val="404"/>
        </w:trPr>
        <w:tc>
          <w:tcPr>
            <w:tcW w:w="2122" w:type="dxa"/>
          </w:tcPr>
          <w:p w14:paraId="5AEB0890" w14:textId="185C8139" w:rsidR="00D97F26" w:rsidRDefault="00D97F26" w:rsidP="001C0C90">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05B455B5" w14:textId="05724226" w:rsidR="00D97F26" w:rsidRPr="001C0C90" w:rsidRDefault="001C0C90" w:rsidP="00605F97">
            <w:pPr>
              <w:spacing w:after="0"/>
              <w:rPr>
                <w:lang w:val="nl-NL"/>
              </w:rPr>
            </w:pPr>
            <w:r w:rsidRPr="001C0C90">
              <w:rPr>
                <w:lang w:val="nl-NL"/>
              </w:rPr>
              <w:t xml:space="preserve">Het betreft een herneming van artikel 6:12 van het huidige ontwerp. </w:t>
            </w:r>
          </w:p>
        </w:tc>
        <w:tc>
          <w:tcPr>
            <w:tcW w:w="5953" w:type="dxa"/>
            <w:shd w:val="clear" w:color="auto" w:fill="auto"/>
          </w:tcPr>
          <w:p w14:paraId="7248A89D" w14:textId="23061B6E" w:rsidR="00D97F26" w:rsidRPr="001C0C90" w:rsidRDefault="001C0C90" w:rsidP="00605F97">
            <w:pPr>
              <w:spacing w:after="0"/>
              <w:rPr>
                <w:lang w:val="fr-FR"/>
              </w:rPr>
            </w:pPr>
            <w:r w:rsidRPr="001C0C90">
              <w:rPr>
                <w:lang w:val="fr-FR"/>
              </w:rPr>
              <w:t xml:space="preserve">Il s’agit d’une reprise de l’article </w:t>
            </w:r>
            <w:proofErr w:type="gramStart"/>
            <w:r w:rsidRPr="001C0C90">
              <w:rPr>
                <w:lang w:val="fr-FR"/>
              </w:rPr>
              <w:t>6:</w:t>
            </w:r>
            <w:proofErr w:type="gramEnd"/>
            <w:r w:rsidRPr="001C0C90">
              <w:rPr>
                <w:lang w:val="fr-FR"/>
              </w:rPr>
              <w:t xml:space="preserve">12 du présent projet. </w:t>
            </w:r>
          </w:p>
        </w:tc>
      </w:tr>
    </w:tbl>
    <w:p w14:paraId="599F3622" w14:textId="77777777" w:rsidR="000D42B6" w:rsidRPr="001476D0" w:rsidRDefault="000D42B6" w:rsidP="002E2C50">
      <w:pPr>
        <w:rPr>
          <w:lang w:val="fr-FR"/>
        </w:rPr>
      </w:pPr>
    </w:p>
    <w:sectPr w:rsidR="000D42B6" w:rsidRPr="001476D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3506C" w14:textId="77777777" w:rsidR="00293A1E" w:rsidRDefault="00293A1E" w:rsidP="000D42B6">
      <w:pPr>
        <w:spacing w:after="0" w:line="240" w:lineRule="auto"/>
      </w:pPr>
      <w:r>
        <w:separator/>
      </w:r>
    </w:p>
  </w:endnote>
  <w:endnote w:type="continuationSeparator" w:id="0">
    <w:p w14:paraId="3DE10D57" w14:textId="77777777" w:rsidR="00293A1E" w:rsidRDefault="00293A1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FA1B" w14:textId="77777777" w:rsidR="00293A1E" w:rsidRDefault="00293A1E" w:rsidP="000D42B6">
      <w:pPr>
        <w:spacing w:after="0" w:line="240" w:lineRule="auto"/>
      </w:pPr>
      <w:r>
        <w:separator/>
      </w:r>
    </w:p>
  </w:footnote>
  <w:footnote w:type="continuationSeparator" w:id="0">
    <w:p w14:paraId="24630DE2" w14:textId="77777777" w:rsidR="00293A1E" w:rsidRDefault="00293A1E"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5681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476D0"/>
    <w:rsid w:val="00153A4F"/>
    <w:rsid w:val="001777AA"/>
    <w:rsid w:val="00182D7F"/>
    <w:rsid w:val="00183242"/>
    <w:rsid w:val="001A0A02"/>
    <w:rsid w:val="001C0C90"/>
    <w:rsid w:val="001C4D4C"/>
    <w:rsid w:val="001F3D08"/>
    <w:rsid w:val="001F597E"/>
    <w:rsid w:val="001F6206"/>
    <w:rsid w:val="001F70DD"/>
    <w:rsid w:val="00200CB2"/>
    <w:rsid w:val="00202051"/>
    <w:rsid w:val="00266AFF"/>
    <w:rsid w:val="00272BA1"/>
    <w:rsid w:val="00293A1E"/>
    <w:rsid w:val="002A7546"/>
    <w:rsid w:val="002B16AC"/>
    <w:rsid w:val="002E07F4"/>
    <w:rsid w:val="002E2C50"/>
    <w:rsid w:val="002F3F41"/>
    <w:rsid w:val="00300269"/>
    <w:rsid w:val="00311F1A"/>
    <w:rsid w:val="00316F52"/>
    <w:rsid w:val="00322343"/>
    <w:rsid w:val="00355A50"/>
    <w:rsid w:val="00361C46"/>
    <w:rsid w:val="00382968"/>
    <w:rsid w:val="00392D3D"/>
    <w:rsid w:val="00393BDA"/>
    <w:rsid w:val="003A6021"/>
    <w:rsid w:val="003B05A2"/>
    <w:rsid w:val="003B77F3"/>
    <w:rsid w:val="003D46FE"/>
    <w:rsid w:val="003D55CF"/>
    <w:rsid w:val="003F5AEA"/>
    <w:rsid w:val="003F5DE0"/>
    <w:rsid w:val="004148F6"/>
    <w:rsid w:val="00417C7D"/>
    <w:rsid w:val="00427696"/>
    <w:rsid w:val="0044028C"/>
    <w:rsid w:val="00445434"/>
    <w:rsid w:val="00474A1C"/>
    <w:rsid w:val="00475FC8"/>
    <w:rsid w:val="00477E93"/>
    <w:rsid w:val="00482090"/>
    <w:rsid w:val="004A03E1"/>
    <w:rsid w:val="004C1034"/>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E3A3F"/>
    <w:rsid w:val="005E4B0B"/>
    <w:rsid w:val="00605F97"/>
    <w:rsid w:val="006170A4"/>
    <w:rsid w:val="00630590"/>
    <w:rsid w:val="00635FDC"/>
    <w:rsid w:val="00642F57"/>
    <w:rsid w:val="00665133"/>
    <w:rsid w:val="00680943"/>
    <w:rsid w:val="006910C1"/>
    <w:rsid w:val="006A67F1"/>
    <w:rsid w:val="006F2B94"/>
    <w:rsid w:val="007061E6"/>
    <w:rsid w:val="007316C7"/>
    <w:rsid w:val="0078377D"/>
    <w:rsid w:val="007A6A5E"/>
    <w:rsid w:val="007A7077"/>
    <w:rsid w:val="007B29A3"/>
    <w:rsid w:val="007D091B"/>
    <w:rsid w:val="007D19C2"/>
    <w:rsid w:val="008145E3"/>
    <w:rsid w:val="00821841"/>
    <w:rsid w:val="00860E15"/>
    <w:rsid w:val="00871559"/>
    <w:rsid w:val="008849AC"/>
    <w:rsid w:val="008A299A"/>
    <w:rsid w:val="008B2F1F"/>
    <w:rsid w:val="008D169B"/>
    <w:rsid w:val="00916F5F"/>
    <w:rsid w:val="00950791"/>
    <w:rsid w:val="00950DFB"/>
    <w:rsid w:val="009662AF"/>
    <w:rsid w:val="00985EF6"/>
    <w:rsid w:val="009943DD"/>
    <w:rsid w:val="0099503B"/>
    <w:rsid w:val="009A33B9"/>
    <w:rsid w:val="009D1831"/>
    <w:rsid w:val="00A362F8"/>
    <w:rsid w:val="00A41BE3"/>
    <w:rsid w:val="00A46D88"/>
    <w:rsid w:val="00A5511C"/>
    <w:rsid w:val="00A667FE"/>
    <w:rsid w:val="00A97687"/>
    <w:rsid w:val="00AE3CA5"/>
    <w:rsid w:val="00AE5EE8"/>
    <w:rsid w:val="00B03609"/>
    <w:rsid w:val="00B0539A"/>
    <w:rsid w:val="00B2273C"/>
    <w:rsid w:val="00B53841"/>
    <w:rsid w:val="00BB0F3C"/>
    <w:rsid w:val="00BB4222"/>
    <w:rsid w:val="00BC15E6"/>
    <w:rsid w:val="00BD70F4"/>
    <w:rsid w:val="00C23A95"/>
    <w:rsid w:val="00C418D3"/>
    <w:rsid w:val="00C43011"/>
    <w:rsid w:val="00C50F26"/>
    <w:rsid w:val="00C64210"/>
    <w:rsid w:val="00CC1091"/>
    <w:rsid w:val="00CE1421"/>
    <w:rsid w:val="00D40D5C"/>
    <w:rsid w:val="00D61286"/>
    <w:rsid w:val="00D80E35"/>
    <w:rsid w:val="00D87CE4"/>
    <w:rsid w:val="00D9012C"/>
    <w:rsid w:val="00D96633"/>
    <w:rsid w:val="00D97F26"/>
    <w:rsid w:val="00DB03B9"/>
    <w:rsid w:val="00DB2491"/>
    <w:rsid w:val="00DC54F2"/>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A5B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1C0C90"/>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1F597E"/>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1C0C90"/>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1C0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FDF0-3C25-F847-9F9B-29E3207F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1290</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140</cp:revision>
  <dcterms:created xsi:type="dcterms:W3CDTF">2019-10-18T10:25:00Z</dcterms:created>
  <dcterms:modified xsi:type="dcterms:W3CDTF">2021-10-06T09:32:00Z</dcterms:modified>
</cp:coreProperties>
</file>