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4110"/>
        <w:gridCol w:w="1843"/>
      </w:tblGrid>
      <w:tr w:rsidR="000D42B6" w:rsidRPr="004021A1" w14:paraId="7949171F" w14:textId="77777777" w:rsidTr="004021A1">
        <w:tc>
          <w:tcPr>
            <w:tcW w:w="11902" w:type="dxa"/>
            <w:gridSpan w:val="3"/>
          </w:tcPr>
          <w:p w14:paraId="1695C0CD" w14:textId="77777777" w:rsidR="000D42B6" w:rsidRPr="004021A1" w:rsidRDefault="004021A1" w:rsidP="004300A0">
            <w:pPr>
              <w:rPr>
                <w:rFonts w:cstheme="minorHAnsi"/>
                <w:b/>
                <w:sz w:val="32"/>
                <w:szCs w:val="32"/>
                <w:lang w:val="nl-BE"/>
              </w:rPr>
            </w:pPr>
            <w:r>
              <w:rPr>
                <w:rFonts w:cstheme="minorHAnsi"/>
                <w:b/>
                <w:sz w:val="32"/>
                <w:szCs w:val="32"/>
                <w:lang w:val="nl-BE"/>
              </w:rPr>
              <w:t>Titel</w:t>
            </w:r>
            <w:r w:rsidRPr="004021A1">
              <w:rPr>
                <w:rFonts w:cstheme="minorHAnsi"/>
                <w:b/>
                <w:sz w:val="32"/>
                <w:szCs w:val="32"/>
                <w:lang w:val="nl-BE"/>
              </w:rPr>
              <w:t xml:space="preserve"> </w:t>
            </w:r>
            <w:r>
              <w:rPr>
                <w:rFonts w:cstheme="minorHAnsi"/>
                <w:b/>
                <w:sz w:val="32"/>
                <w:szCs w:val="32"/>
                <w:lang w:val="nl-BE"/>
              </w:rPr>
              <w:t>4 . – G</w:t>
            </w:r>
            <w:r w:rsidRPr="004021A1">
              <w:rPr>
                <w:rFonts w:cstheme="minorHAnsi"/>
                <w:b/>
                <w:sz w:val="32"/>
                <w:szCs w:val="32"/>
                <w:lang w:val="nl-BE"/>
              </w:rPr>
              <w:t>erechtelijke ontbinding.</w:t>
            </w:r>
          </w:p>
        </w:tc>
        <w:tc>
          <w:tcPr>
            <w:tcW w:w="1843" w:type="dxa"/>
            <w:shd w:val="clear" w:color="auto" w:fill="auto"/>
          </w:tcPr>
          <w:p w14:paraId="0A1240B5" w14:textId="77777777" w:rsidR="000D42B6" w:rsidRPr="0095609C" w:rsidRDefault="000D42B6" w:rsidP="004300A0">
            <w:pPr>
              <w:spacing w:line="240" w:lineRule="auto"/>
              <w:rPr>
                <w:rFonts w:cstheme="minorHAnsi"/>
                <w:lang w:val="nl-BE"/>
              </w:rPr>
            </w:pPr>
          </w:p>
        </w:tc>
      </w:tr>
      <w:tr w:rsidR="005B33B1" w:rsidRPr="004021A1" w14:paraId="14C7BE0A" w14:textId="77777777" w:rsidTr="001F3D08">
        <w:tc>
          <w:tcPr>
            <w:tcW w:w="2122" w:type="dxa"/>
          </w:tcPr>
          <w:p w14:paraId="04090962" w14:textId="77777777" w:rsidR="005B33B1" w:rsidRPr="00B07AC9" w:rsidRDefault="0095609C" w:rsidP="004300A0">
            <w:pPr>
              <w:rPr>
                <w:b/>
                <w:sz w:val="32"/>
                <w:szCs w:val="32"/>
                <w:lang w:val="nl-BE"/>
              </w:rPr>
            </w:pPr>
            <w:r w:rsidRPr="0095609C">
              <w:rPr>
                <w:b/>
                <w:sz w:val="32"/>
                <w:szCs w:val="32"/>
                <w:lang w:val="nl-BE"/>
              </w:rPr>
              <w:t>ARTIKEL 6:127</w:t>
            </w:r>
          </w:p>
        </w:tc>
        <w:tc>
          <w:tcPr>
            <w:tcW w:w="11623" w:type="dxa"/>
            <w:gridSpan w:val="3"/>
            <w:shd w:val="clear" w:color="auto" w:fill="auto"/>
          </w:tcPr>
          <w:p w14:paraId="69B9B7A9" w14:textId="77777777" w:rsidR="005B33B1" w:rsidRPr="00382324" w:rsidRDefault="005B33B1" w:rsidP="004300A0">
            <w:pPr>
              <w:rPr>
                <w:rFonts w:asciiTheme="majorHAnsi" w:eastAsiaTheme="majorEastAsia" w:hAnsiTheme="majorHAnsi" w:cstheme="majorBidi"/>
                <w:b/>
                <w:bCs/>
                <w:color w:val="2E74B5" w:themeColor="accent1" w:themeShade="BF"/>
                <w:sz w:val="32"/>
                <w:szCs w:val="28"/>
                <w:lang w:val="nl-BE"/>
              </w:rPr>
            </w:pPr>
          </w:p>
        </w:tc>
      </w:tr>
      <w:tr w:rsidR="000570FF" w:rsidRPr="00841677" w14:paraId="3A599C10" w14:textId="77777777" w:rsidTr="00E876C8">
        <w:tc>
          <w:tcPr>
            <w:tcW w:w="13745" w:type="dxa"/>
            <w:gridSpan w:val="4"/>
          </w:tcPr>
          <w:p w14:paraId="4DD251D6" w14:textId="77777777" w:rsidR="000570FF" w:rsidRDefault="000570FF" w:rsidP="000570F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89A4E2B" w14:textId="77777777" w:rsidR="000570FF" w:rsidRDefault="000570FF" w:rsidP="000570F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2B58FC6" w14:textId="77777777" w:rsidR="000570FF" w:rsidRPr="00382324" w:rsidRDefault="000570FF" w:rsidP="004300A0">
            <w:pPr>
              <w:rPr>
                <w:rFonts w:asciiTheme="majorHAnsi" w:eastAsiaTheme="majorEastAsia" w:hAnsiTheme="majorHAnsi" w:cstheme="majorBidi"/>
                <w:b/>
                <w:bCs/>
                <w:color w:val="2E74B5" w:themeColor="accent1" w:themeShade="BF"/>
                <w:sz w:val="32"/>
                <w:szCs w:val="28"/>
                <w:lang w:val="nl-BE"/>
              </w:rPr>
            </w:pPr>
            <w:r w:rsidRPr="000570FF">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4300A0" w:rsidRPr="00841677" w14:paraId="1499E2BC" w14:textId="77777777" w:rsidTr="001F3D08">
        <w:tc>
          <w:tcPr>
            <w:tcW w:w="2122" w:type="dxa"/>
          </w:tcPr>
          <w:p w14:paraId="1AC4D27A" w14:textId="77777777" w:rsidR="004300A0" w:rsidRPr="0095609C" w:rsidRDefault="004300A0" w:rsidP="004300A0">
            <w:pPr>
              <w:rPr>
                <w:b/>
                <w:sz w:val="32"/>
                <w:szCs w:val="32"/>
                <w:lang w:val="nl-BE"/>
              </w:rPr>
            </w:pPr>
          </w:p>
        </w:tc>
        <w:tc>
          <w:tcPr>
            <w:tcW w:w="11623" w:type="dxa"/>
            <w:gridSpan w:val="3"/>
            <w:shd w:val="clear" w:color="auto" w:fill="auto"/>
          </w:tcPr>
          <w:p w14:paraId="0BCB62CC" w14:textId="77777777" w:rsidR="004300A0" w:rsidRPr="00382324" w:rsidRDefault="004300A0" w:rsidP="004300A0">
            <w:pPr>
              <w:rPr>
                <w:rFonts w:asciiTheme="majorHAnsi" w:eastAsiaTheme="majorEastAsia" w:hAnsiTheme="majorHAnsi" w:cstheme="majorBidi"/>
                <w:b/>
                <w:bCs/>
                <w:color w:val="2E74B5" w:themeColor="accent1" w:themeShade="BF"/>
                <w:sz w:val="32"/>
                <w:szCs w:val="28"/>
                <w:lang w:val="nl-BE"/>
              </w:rPr>
            </w:pPr>
          </w:p>
        </w:tc>
      </w:tr>
      <w:tr w:rsidR="0005332B" w:rsidRPr="004300A0" w14:paraId="717E1FF2" w14:textId="77777777" w:rsidTr="004021A1">
        <w:trPr>
          <w:trHeight w:val="803"/>
        </w:trPr>
        <w:tc>
          <w:tcPr>
            <w:tcW w:w="2122" w:type="dxa"/>
          </w:tcPr>
          <w:p w14:paraId="6E9C09BB" w14:textId="77777777" w:rsidR="0005332B" w:rsidRDefault="0005332B" w:rsidP="004300A0">
            <w:pPr>
              <w:spacing w:after="0" w:line="240" w:lineRule="auto"/>
              <w:jc w:val="both"/>
              <w:rPr>
                <w:rFonts w:cs="Calibri"/>
                <w:lang w:val="nl-BE"/>
              </w:rPr>
            </w:pPr>
            <w:r>
              <w:rPr>
                <w:rFonts w:cs="Calibri"/>
                <w:lang w:val="nl-BE"/>
              </w:rPr>
              <w:t>WVV</w:t>
            </w:r>
          </w:p>
        </w:tc>
        <w:tc>
          <w:tcPr>
            <w:tcW w:w="5670" w:type="dxa"/>
            <w:shd w:val="clear" w:color="auto" w:fill="auto"/>
          </w:tcPr>
          <w:p w14:paraId="732E370D" w14:textId="5FF92656" w:rsidR="0005332B" w:rsidRPr="00DF5C9C" w:rsidRDefault="00DF5C9C" w:rsidP="004300A0">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5332B" w:rsidRPr="00DF5C9C">
              <w:rPr>
                <w:rStyle w:val="Hyperlink"/>
                <w:rFonts w:cstheme="minorHAnsi"/>
                <w:lang w:val="nl-NL"/>
              </w:rPr>
              <w:t>De ondernemingsrechtbank kan op verzoek van een aandeelhouder, van een belanghebbende derde of van het openbaar ministerie de ontbinding uitspreken van een coöperatieve vennootschap die niet beantwoordt aan de vereisten van artikel 6:1.</w:t>
            </w:r>
          </w:p>
          <w:p w14:paraId="4F02F21F" w14:textId="77777777" w:rsidR="0005332B" w:rsidRPr="00DF5C9C" w:rsidRDefault="0005332B" w:rsidP="004300A0">
            <w:pPr>
              <w:spacing w:after="0" w:line="240" w:lineRule="auto"/>
              <w:jc w:val="both"/>
              <w:rPr>
                <w:rStyle w:val="Hyperlink"/>
                <w:rFonts w:cstheme="minorHAnsi"/>
                <w:lang w:val="nl-NL"/>
              </w:rPr>
            </w:pPr>
          </w:p>
          <w:p w14:paraId="3F0F679A" w14:textId="2FC53F2A" w:rsidR="0005332B" w:rsidRPr="004300A0" w:rsidRDefault="0005332B" w:rsidP="004300A0">
            <w:pPr>
              <w:spacing w:after="0" w:line="240" w:lineRule="auto"/>
              <w:jc w:val="both"/>
              <w:rPr>
                <w:rFonts w:cstheme="minorHAnsi"/>
                <w:lang w:val="nl-NL"/>
              </w:rPr>
            </w:pPr>
            <w:r w:rsidRPr="00DF5C9C">
              <w:rPr>
                <w:rStyle w:val="Hyperlink"/>
                <w:rFonts w:cstheme="minorHAnsi"/>
                <w:lang w:val="nl-NL"/>
              </w:rPr>
              <w:t>In voorkomend geval kan de rechtbank een termijn aan de vennootschap toestaan om haar toestand te regulariseren.</w:t>
            </w:r>
            <w:r w:rsidR="00DF5C9C">
              <w:rPr>
                <w:rFonts w:cstheme="minorHAnsi"/>
                <w:lang w:val="nl-NL"/>
              </w:rPr>
              <w:fldChar w:fldCharType="end"/>
            </w:r>
          </w:p>
        </w:tc>
        <w:tc>
          <w:tcPr>
            <w:tcW w:w="5953" w:type="dxa"/>
            <w:gridSpan w:val="2"/>
            <w:shd w:val="clear" w:color="auto" w:fill="auto"/>
          </w:tcPr>
          <w:p w14:paraId="4D065EB4" w14:textId="62662B32" w:rsidR="0005332B" w:rsidRPr="00DF5C9C" w:rsidRDefault="00DF5C9C" w:rsidP="004300A0">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05332B" w:rsidRPr="00DF5C9C">
              <w:rPr>
                <w:rStyle w:val="Hyperlink"/>
                <w:rFonts w:cstheme="minorHAnsi"/>
                <w:lang w:val="fr-BE"/>
              </w:rPr>
              <w:t>Le tribunal de l’entreprise peut prononcer à la requête soit d’un actionnaire, soit d’un tiers intéressé, soit du ministère public, la dissolution d’une société coopérative qui ne répond pas aux exigences de l’article 6:1.</w:t>
            </w:r>
          </w:p>
          <w:p w14:paraId="086BFE7A" w14:textId="77777777" w:rsidR="0005332B" w:rsidRPr="00DF5C9C" w:rsidRDefault="0005332B" w:rsidP="004300A0">
            <w:pPr>
              <w:spacing w:after="0" w:line="240" w:lineRule="auto"/>
              <w:jc w:val="both"/>
              <w:rPr>
                <w:rStyle w:val="Hyperlink"/>
                <w:rFonts w:cstheme="minorHAnsi"/>
                <w:lang w:val="fr-BE"/>
              </w:rPr>
            </w:pPr>
          </w:p>
          <w:p w14:paraId="320E550E" w14:textId="77777777" w:rsidR="0005332B" w:rsidRPr="00DF5C9C" w:rsidRDefault="0005332B" w:rsidP="004300A0">
            <w:pPr>
              <w:pStyle w:val="Geenafstand"/>
              <w:jc w:val="both"/>
              <w:rPr>
                <w:rStyle w:val="Hyperlink"/>
                <w:rFonts w:cstheme="minorHAnsi"/>
                <w:lang w:val="fr-BE"/>
              </w:rPr>
            </w:pPr>
            <w:r w:rsidRPr="00DF5C9C">
              <w:rPr>
                <w:rStyle w:val="Hyperlink"/>
                <w:rFonts w:cstheme="minorHAnsi"/>
                <w:lang w:val="fr-BE"/>
              </w:rPr>
              <w:t>Le tribunal peut, le cas échéant, accorder à la société un délai en vue de régulariser sa situation.</w:t>
            </w:r>
          </w:p>
          <w:p w14:paraId="6AE1BF8B" w14:textId="6723EABB" w:rsidR="0005332B" w:rsidRPr="00F83988" w:rsidRDefault="00DF5C9C" w:rsidP="004300A0">
            <w:pPr>
              <w:spacing w:after="0" w:line="240" w:lineRule="auto"/>
              <w:jc w:val="both"/>
              <w:rPr>
                <w:rFonts w:cstheme="minorHAnsi"/>
                <w:lang w:val="fr-BE"/>
              </w:rPr>
            </w:pPr>
            <w:r>
              <w:rPr>
                <w:rFonts w:cstheme="minorHAnsi"/>
                <w:lang w:val="fr-BE"/>
              </w:rPr>
              <w:fldChar w:fldCharType="end"/>
            </w:r>
            <w:bookmarkStart w:id="0" w:name="_GoBack"/>
            <w:bookmarkEnd w:id="0"/>
          </w:p>
        </w:tc>
      </w:tr>
      <w:tr w:rsidR="00292DFE" w:rsidRPr="004300A0" w14:paraId="4C2218C1" w14:textId="77777777" w:rsidTr="00292DFE">
        <w:trPr>
          <w:trHeight w:val="409"/>
        </w:trPr>
        <w:tc>
          <w:tcPr>
            <w:tcW w:w="2122" w:type="dxa"/>
          </w:tcPr>
          <w:p w14:paraId="22FF3D79" w14:textId="4F8558D8" w:rsidR="00292DFE" w:rsidRDefault="00292DFE" w:rsidP="004300A0">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34E60F11" w14:textId="49AE3002" w:rsidR="00292DFE" w:rsidRPr="00D41C14" w:rsidRDefault="00292DFE" w:rsidP="004300A0">
            <w:pPr>
              <w:spacing w:after="0" w:line="240" w:lineRule="auto"/>
              <w:jc w:val="both"/>
              <w:rPr>
                <w:rFonts w:cstheme="minorHAnsi"/>
                <w:lang w:val="nl-NL"/>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gridSpan w:val="2"/>
            <w:shd w:val="clear" w:color="auto" w:fill="auto"/>
          </w:tcPr>
          <w:p w14:paraId="78DCDD48" w14:textId="3A7498E4" w:rsidR="00292DFE" w:rsidRPr="00D41C14" w:rsidRDefault="00292DFE" w:rsidP="004300A0">
            <w:pPr>
              <w:spacing w:after="0" w:line="240" w:lineRule="auto"/>
              <w:jc w:val="both"/>
              <w:rPr>
                <w:rFonts w:cstheme="minorHAnsi"/>
                <w:lang w:val="fr-BE"/>
              </w:rPr>
            </w:pPr>
            <w:r>
              <w:rPr>
                <w:rFonts w:cstheme="minorHAnsi"/>
                <w:lang w:val="fr-FR"/>
              </w:rPr>
              <w:t>Pas d’article.</w:t>
            </w:r>
          </w:p>
        </w:tc>
      </w:tr>
      <w:tr w:rsidR="00292DFE" w:rsidRPr="004300A0" w14:paraId="246014F8" w14:textId="77777777" w:rsidTr="004021A1">
        <w:trPr>
          <w:trHeight w:val="803"/>
        </w:trPr>
        <w:tc>
          <w:tcPr>
            <w:tcW w:w="2122" w:type="dxa"/>
          </w:tcPr>
          <w:p w14:paraId="0E9C68D9" w14:textId="77777777" w:rsidR="00292DFE" w:rsidRPr="0095609C" w:rsidRDefault="00292DFE" w:rsidP="004300A0">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216F0FE5" w14:textId="77777777" w:rsidR="00292DFE" w:rsidRDefault="00292DFE" w:rsidP="004300A0">
            <w:pPr>
              <w:spacing w:after="0" w:line="240" w:lineRule="auto"/>
              <w:jc w:val="both"/>
              <w:rPr>
                <w:rFonts w:cstheme="minorHAnsi"/>
                <w:lang w:val="nl-BE"/>
              </w:rPr>
            </w:pPr>
            <w:r w:rsidRPr="0095609C">
              <w:rPr>
                <w:rFonts w:cstheme="minorHAnsi"/>
                <w:lang w:val="nl-BE"/>
              </w:rPr>
              <w:t>Art. 6:13. De ondernemingsrechtbank kan op verzoek van een aandeelhouder, van een belanghebbende derde of van het openbaar ministerie de ontbinding uitspreken van een coöperatieve vennootschap die niet beantwoordt aan de vereisten van artikel 6:1.</w:t>
            </w:r>
          </w:p>
          <w:p w14:paraId="3CC18D79" w14:textId="77777777" w:rsidR="00292DFE" w:rsidRPr="0095609C" w:rsidRDefault="00292DFE" w:rsidP="004300A0">
            <w:pPr>
              <w:spacing w:after="0" w:line="240" w:lineRule="auto"/>
              <w:jc w:val="both"/>
              <w:rPr>
                <w:rFonts w:cstheme="minorHAnsi"/>
                <w:lang w:val="nl-BE"/>
              </w:rPr>
            </w:pPr>
          </w:p>
          <w:p w14:paraId="685D2728" w14:textId="77777777" w:rsidR="00292DFE" w:rsidRPr="0095609C" w:rsidRDefault="00292DFE" w:rsidP="004300A0">
            <w:pPr>
              <w:spacing w:after="0" w:line="240" w:lineRule="auto"/>
              <w:jc w:val="both"/>
              <w:rPr>
                <w:rFonts w:cstheme="minorHAnsi"/>
                <w:lang w:val="nl-BE"/>
              </w:rPr>
            </w:pPr>
            <w:r w:rsidRPr="0095609C">
              <w:rPr>
                <w:rFonts w:cstheme="minorHAnsi"/>
                <w:lang w:val="nl-BE"/>
              </w:rPr>
              <w:t>In voorkomend geval kan de rechtbank een termijn aan de vennootschap toestaan om haar toestand te regulariseren.</w:t>
            </w:r>
          </w:p>
        </w:tc>
        <w:tc>
          <w:tcPr>
            <w:tcW w:w="5953" w:type="dxa"/>
            <w:gridSpan w:val="2"/>
            <w:shd w:val="clear" w:color="auto" w:fill="auto"/>
          </w:tcPr>
          <w:p w14:paraId="58B41F51" w14:textId="77777777" w:rsidR="00292DFE" w:rsidRDefault="00292DFE" w:rsidP="004300A0">
            <w:pPr>
              <w:spacing w:after="0" w:line="240" w:lineRule="auto"/>
              <w:jc w:val="both"/>
              <w:rPr>
                <w:rFonts w:cstheme="minorHAnsi"/>
                <w:lang w:val="fr-FR"/>
              </w:rPr>
            </w:pPr>
            <w:r w:rsidRPr="0095609C">
              <w:rPr>
                <w:rFonts w:cstheme="minorHAnsi"/>
                <w:lang w:val="fr-FR"/>
              </w:rPr>
              <w:t xml:space="preserve">Art. </w:t>
            </w:r>
            <w:proofErr w:type="gramStart"/>
            <w:r w:rsidRPr="0095609C">
              <w:rPr>
                <w:rFonts w:cstheme="minorHAnsi"/>
                <w:lang w:val="fr-FR"/>
              </w:rPr>
              <w:t>6:</w:t>
            </w:r>
            <w:proofErr w:type="gramEnd"/>
            <w:r w:rsidRPr="0095609C">
              <w:rPr>
                <w:rFonts w:cstheme="minorHAnsi"/>
                <w:lang w:val="fr-FR"/>
              </w:rPr>
              <w:t>13. Le tribunal des entreprises peut prononcer à la requête soit d'un actionnaire, soit d'un tiers intéressé, soit du ministère public, la dissolution d’une société coopérative qui ne répond pas aux exigences de l’article 6:1.</w:t>
            </w:r>
          </w:p>
          <w:p w14:paraId="112254F3" w14:textId="77777777" w:rsidR="00292DFE" w:rsidRDefault="00292DFE" w:rsidP="004300A0">
            <w:pPr>
              <w:spacing w:after="0" w:line="240" w:lineRule="auto"/>
              <w:jc w:val="both"/>
              <w:rPr>
                <w:rFonts w:cstheme="minorHAnsi"/>
                <w:lang w:val="fr-FR"/>
              </w:rPr>
            </w:pPr>
          </w:p>
          <w:p w14:paraId="6D219EAE" w14:textId="32B7EB60" w:rsidR="00292DFE" w:rsidRPr="0095609C" w:rsidRDefault="00292DFE" w:rsidP="004300A0">
            <w:pPr>
              <w:spacing w:after="0" w:line="240" w:lineRule="auto"/>
              <w:jc w:val="both"/>
              <w:rPr>
                <w:rFonts w:cstheme="minorHAnsi"/>
                <w:lang w:val="fr-FR"/>
              </w:rPr>
            </w:pPr>
            <w:r w:rsidRPr="0095609C">
              <w:rPr>
                <w:rFonts w:cstheme="minorHAnsi"/>
                <w:lang w:val="fr-FR"/>
              </w:rPr>
              <w:t xml:space="preserve">Le tribunal peut, le cas </w:t>
            </w:r>
            <w:r w:rsidR="00CB1A16">
              <w:rPr>
                <w:rFonts w:cstheme="minorHAnsi"/>
                <w:lang w:val="fr-FR"/>
              </w:rPr>
              <w:t xml:space="preserve">échéant, accorder à la société </w:t>
            </w:r>
            <w:r w:rsidRPr="0095609C">
              <w:rPr>
                <w:rFonts w:cstheme="minorHAnsi"/>
                <w:lang w:val="fr-FR"/>
              </w:rPr>
              <w:t>un délai en vue de régulariser sa situation.</w:t>
            </w:r>
          </w:p>
          <w:p w14:paraId="3DD16017" w14:textId="77777777" w:rsidR="00292DFE" w:rsidRPr="0095609C" w:rsidRDefault="00292DFE" w:rsidP="004300A0">
            <w:pPr>
              <w:spacing w:after="0" w:line="240" w:lineRule="auto"/>
              <w:jc w:val="both"/>
              <w:rPr>
                <w:rFonts w:cstheme="minorHAnsi"/>
                <w:lang w:val="fr-FR"/>
              </w:rPr>
            </w:pPr>
          </w:p>
        </w:tc>
      </w:tr>
      <w:tr w:rsidR="00292DFE" w:rsidRPr="00456A8F" w14:paraId="6200CABE" w14:textId="77777777" w:rsidTr="004021A1">
        <w:trPr>
          <w:trHeight w:val="420"/>
        </w:trPr>
        <w:tc>
          <w:tcPr>
            <w:tcW w:w="2122" w:type="dxa"/>
          </w:tcPr>
          <w:p w14:paraId="3B00925F" w14:textId="77777777" w:rsidR="00292DFE" w:rsidRDefault="00292DFE" w:rsidP="004300A0">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1FFC291F" w14:textId="77777777" w:rsidR="00292DFE" w:rsidRPr="0040592B" w:rsidRDefault="00292DFE" w:rsidP="004300A0">
            <w:pPr>
              <w:spacing w:after="0"/>
            </w:pPr>
            <w:proofErr w:type="spellStart"/>
            <w:r>
              <w:t>Geen</w:t>
            </w:r>
            <w:proofErr w:type="spellEnd"/>
            <w:r>
              <w:t xml:space="preserve"> </w:t>
            </w:r>
            <w:proofErr w:type="spellStart"/>
            <w:r>
              <w:t>opmerkingen</w:t>
            </w:r>
            <w:proofErr w:type="spellEnd"/>
            <w:r>
              <w:t>.</w:t>
            </w:r>
          </w:p>
        </w:tc>
        <w:tc>
          <w:tcPr>
            <w:tcW w:w="5953" w:type="dxa"/>
            <w:gridSpan w:val="2"/>
            <w:shd w:val="clear" w:color="auto" w:fill="auto"/>
          </w:tcPr>
          <w:p w14:paraId="27C23F3D" w14:textId="77777777" w:rsidR="00292DFE" w:rsidRDefault="00292DFE" w:rsidP="004300A0">
            <w:pPr>
              <w:spacing w:after="0"/>
            </w:pPr>
            <w:r>
              <w:t xml:space="preserve">Pas de </w:t>
            </w:r>
            <w:proofErr w:type="spellStart"/>
            <w:r>
              <w:t>remarques</w:t>
            </w:r>
            <w:proofErr w:type="spellEnd"/>
            <w:r>
              <w:t>.</w:t>
            </w:r>
          </w:p>
        </w:tc>
      </w:tr>
      <w:tr w:rsidR="00292DFE" w:rsidRPr="00456A8F" w14:paraId="6CF9231B" w14:textId="77777777" w:rsidTr="004021A1">
        <w:trPr>
          <w:trHeight w:val="471"/>
        </w:trPr>
        <w:tc>
          <w:tcPr>
            <w:tcW w:w="2122" w:type="dxa"/>
          </w:tcPr>
          <w:p w14:paraId="536ED515" w14:textId="77777777" w:rsidR="00292DFE" w:rsidRDefault="00292DFE" w:rsidP="004300A0">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5DF15C58" w14:textId="77777777" w:rsidR="00292DFE" w:rsidRPr="0040592B" w:rsidRDefault="00292DFE" w:rsidP="004300A0">
            <w:pPr>
              <w:spacing w:after="0"/>
            </w:pPr>
            <w:proofErr w:type="spellStart"/>
            <w:r>
              <w:t>Geen</w:t>
            </w:r>
            <w:proofErr w:type="spellEnd"/>
            <w:r>
              <w:t xml:space="preserve"> </w:t>
            </w:r>
            <w:proofErr w:type="spellStart"/>
            <w:r>
              <w:t>opmerkingen</w:t>
            </w:r>
            <w:proofErr w:type="spellEnd"/>
            <w:r>
              <w:t>.</w:t>
            </w:r>
          </w:p>
        </w:tc>
        <w:tc>
          <w:tcPr>
            <w:tcW w:w="5953" w:type="dxa"/>
            <w:gridSpan w:val="2"/>
            <w:shd w:val="clear" w:color="auto" w:fill="auto"/>
          </w:tcPr>
          <w:p w14:paraId="0F709462" w14:textId="77777777" w:rsidR="00292DFE" w:rsidRDefault="00292DFE" w:rsidP="004300A0">
            <w:pPr>
              <w:spacing w:after="0"/>
            </w:pPr>
            <w:r>
              <w:t xml:space="preserve">Pas de </w:t>
            </w:r>
            <w:proofErr w:type="spellStart"/>
            <w:r>
              <w:t>remarques</w:t>
            </w:r>
            <w:proofErr w:type="spellEnd"/>
            <w:r>
              <w:t>.</w:t>
            </w:r>
          </w:p>
        </w:tc>
      </w:tr>
      <w:tr w:rsidR="00841677" w:rsidRPr="00DF5C9C" w14:paraId="045BE564" w14:textId="77777777" w:rsidTr="004021A1">
        <w:trPr>
          <w:trHeight w:val="471"/>
        </w:trPr>
        <w:tc>
          <w:tcPr>
            <w:tcW w:w="2122" w:type="dxa"/>
          </w:tcPr>
          <w:p w14:paraId="11DCA15C" w14:textId="547BCDEC" w:rsidR="00841677" w:rsidRDefault="00841677" w:rsidP="00DF5C9C">
            <w:pPr>
              <w:pStyle w:val="Kop1"/>
              <w:rPr>
                <w:lang w:val="fr-FR"/>
              </w:rPr>
            </w:pPr>
            <w:bookmarkStart w:id="1" w:name="_Amendement_542"/>
            <w:bookmarkStart w:id="2" w:name="_Amendement_542_1"/>
            <w:bookmarkEnd w:id="1"/>
            <w:bookmarkEnd w:id="2"/>
            <w:r>
              <w:rPr>
                <w:lang w:val="fr-FR"/>
              </w:rPr>
              <w:lastRenderedPageBreak/>
              <w:t>Amendement 542</w:t>
            </w:r>
          </w:p>
        </w:tc>
        <w:tc>
          <w:tcPr>
            <w:tcW w:w="5670" w:type="dxa"/>
            <w:shd w:val="clear" w:color="auto" w:fill="auto"/>
          </w:tcPr>
          <w:p w14:paraId="5827001E" w14:textId="7BED1D0F" w:rsidR="00841677" w:rsidRPr="00DF5C9C" w:rsidRDefault="00DF5C9C" w:rsidP="004300A0">
            <w:pPr>
              <w:spacing w:after="0"/>
              <w:rPr>
                <w:lang w:val="nl-NL"/>
              </w:rPr>
            </w:pPr>
            <w:r w:rsidRPr="00DF5C9C">
              <w:rPr>
                <w:lang w:val="nl-NL"/>
              </w:rPr>
              <w:t xml:space="preserve">Het betreft een herneming van artikel 6:13 van het huidige ontwerp. </w:t>
            </w:r>
          </w:p>
        </w:tc>
        <w:tc>
          <w:tcPr>
            <w:tcW w:w="5953" w:type="dxa"/>
            <w:gridSpan w:val="2"/>
            <w:shd w:val="clear" w:color="auto" w:fill="auto"/>
          </w:tcPr>
          <w:p w14:paraId="6B3C537D" w14:textId="518E9C9C" w:rsidR="00841677" w:rsidRPr="00DF5C9C" w:rsidRDefault="00DF5C9C" w:rsidP="004300A0">
            <w:pPr>
              <w:spacing w:after="0"/>
              <w:rPr>
                <w:lang w:val="fr-FR"/>
              </w:rPr>
            </w:pPr>
            <w:r w:rsidRPr="00DF5C9C">
              <w:rPr>
                <w:lang w:val="fr-FR"/>
              </w:rPr>
              <w:t xml:space="preserve">Il s’agit d’une reprise de l’article </w:t>
            </w:r>
            <w:proofErr w:type="gramStart"/>
            <w:r w:rsidRPr="00DF5C9C">
              <w:rPr>
                <w:lang w:val="fr-FR"/>
              </w:rPr>
              <w:t>6:</w:t>
            </w:r>
            <w:proofErr w:type="gramEnd"/>
            <w:r w:rsidRPr="00DF5C9C">
              <w:rPr>
                <w:lang w:val="fr-FR"/>
              </w:rPr>
              <w:t xml:space="preserve">13 du présent projet. </w:t>
            </w:r>
          </w:p>
        </w:tc>
      </w:tr>
    </w:tbl>
    <w:p w14:paraId="2CC4A2CB" w14:textId="77777777" w:rsidR="000D42B6" w:rsidRPr="0095609C" w:rsidRDefault="000D42B6" w:rsidP="002E2C50">
      <w:pPr>
        <w:rPr>
          <w:lang w:val="fr-FR"/>
        </w:rPr>
      </w:pPr>
    </w:p>
    <w:sectPr w:rsidR="000D42B6" w:rsidRPr="0095609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08B7" w14:textId="77777777" w:rsidR="002C53CB" w:rsidRDefault="002C53CB" w:rsidP="000D42B6">
      <w:pPr>
        <w:spacing w:after="0" w:line="240" w:lineRule="auto"/>
      </w:pPr>
      <w:r>
        <w:separator/>
      </w:r>
    </w:p>
  </w:endnote>
  <w:endnote w:type="continuationSeparator" w:id="0">
    <w:p w14:paraId="5250B99C" w14:textId="77777777" w:rsidR="002C53CB" w:rsidRDefault="002C53C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A91C" w14:textId="77777777" w:rsidR="002C53CB" w:rsidRDefault="002C53CB" w:rsidP="000D42B6">
      <w:pPr>
        <w:spacing w:after="0" w:line="240" w:lineRule="auto"/>
      </w:pPr>
      <w:r>
        <w:separator/>
      </w:r>
    </w:p>
  </w:footnote>
  <w:footnote w:type="continuationSeparator" w:id="0">
    <w:p w14:paraId="06FD931E" w14:textId="77777777" w:rsidR="002C53CB" w:rsidRDefault="002C53C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02F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32B"/>
    <w:rsid w:val="00053660"/>
    <w:rsid w:val="000570FF"/>
    <w:rsid w:val="0006172F"/>
    <w:rsid w:val="000676A1"/>
    <w:rsid w:val="00076900"/>
    <w:rsid w:val="00077EBB"/>
    <w:rsid w:val="00083B1B"/>
    <w:rsid w:val="000923F2"/>
    <w:rsid w:val="000B434D"/>
    <w:rsid w:val="000D42B6"/>
    <w:rsid w:val="00101EDC"/>
    <w:rsid w:val="00153A4F"/>
    <w:rsid w:val="00175527"/>
    <w:rsid w:val="001777AA"/>
    <w:rsid w:val="00182D7F"/>
    <w:rsid w:val="00183242"/>
    <w:rsid w:val="0018504D"/>
    <w:rsid w:val="001A0A02"/>
    <w:rsid w:val="001C4D4C"/>
    <w:rsid w:val="001F3D08"/>
    <w:rsid w:val="001F6206"/>
    <w:rsid w:val="001F70DD"/>
    <w:rsid w:val="00200CB2"/>
    <w:rsid w:val="00202051"/>
    <w:rsid w:val="00266AFF"/>
    <w:rsid w:val="00272BA1"/>
    <w:rsid w:val="00292DFE"/>
    <w:rsid w:val="002A7546"/>
    <w:rsid w:val="002B16AC"/>
    <w:rsid w:val="002C53CB"/>
    <w:rsid w:val="002E07F4"/>
    <w:rsid w:val="002E2C50"/>
    <w:rsid w:val="002F3F41"/>
    <w:rsid w:val="00300269"/>
    <w:rsid w:val="00311F1A"/>
    <w:rsid w:val="00314F27"/>
    <w:rsid w:val="00316F52"/>
    <w:rsid w:val="00322343"/>
    <w:rsid w:val="00355A50"/>
    <w:rsid w:val="00361C46"/>
    <w:rsid w:val="00382968"/>
    <w:rsid w:val="00392D3D"/>
    <w:rsid w:val="00393BDA"/>
    <w:rsid w:val="003A6021"/>
    <w:rsid w:val="003B05A2"/>
    <w:rsid w:val="003B77F3"/>
    <w:rsid w:val="003D46FE"/>
    <w:rsid w:val="003D55CF"/>
    <w:rsid w:val="003F5AEA"/>
    <w:rsid w:val="003F5DE0"/>
    <w:rsid w:val="004021A1"/>
    <w:rsid w:val="004148F6"/>
    <w:rsid w:val="00417C7D"/>
    <w:rsid w:val="00427696"/>
    <w:rsid w:val="004300A0"/>
    <w:rsid w:val="0044028C"/>
    <w:rsid w:val="00445434"/>
    <w:rsid w:val="00456A8F"/>
    <w:rsid w:val="00475FC8"/>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5133"/>
    <w:rsid w:val="00680943"/>
    <w:rsid w:val="006910C1"/>
    <w:rsid w:val="006F2B94"/>
    <w:rsid w:val="007061E6"/>
    <w:rsid w:val="007316C7"/>
    <w:rsid w:val="0078377D"/>
    <w:rsid w:val="007A6A5E"/>
    <w:rsid w:val="007A7077"/>
    <w:rsid w:val="007B29A3"/>
    <w:rsid w:val="007D091B"/>
    <w:rsid w:val="007D19C2"/>
    <w:rsid w:val="008145E3"/>
    <w:rsid w:val="00821841"/>
    <w:rsid w:val="00841677"/>
    <w:rsid w:val="00860E15"/>
    <w:rsid w:val="00871559"/>
    <w:rsid w:val="008849AC"/>
    <w:rsid w:val="008A299A"/>
    <w:rsid w:val="008B2F1F"/>
    <w:rsid w:val="008D169B"/>
    <w:rsid w:val="00916F5F"/>
    <w:rsid w:val="00950791"/>
    <w:rsid w:val="00950DFB"/>
    <w:rsid w:val="009512E9"/>
    <w:rsid w:val="0095609C"/>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BD70F4"/>
    <w:rsid w:val="00BE0806"/>
    <w:rsid w:val="00C23A95"/>
    <w:rsid w:val="00C418D3"/>
    <w:rsid w:val="00C43011"/>
    <w:rsid w:val="00C50F26"/>
    <w:rsid w:val="00C64210"/>
    <w:rsid w:val="00CB1A16"/>
    <w:rsid w:val="00CC1091"/>
    <w:rsid w:val="00CE1421"/>
    <w:rsid w:val="00D40D5C"/>
    <w:rsid w:val="00D61286"/>
    <w:rsid w:val="00D80E35"/>
    <w:rsid w:val="00D87CE4"/>
    <w:rsid w:val="00D9012C"/>
    <w:rsid w:val="00D96633"/>
    <w:rsid w:val="00DB2491"/>
    <w:rsid w:val="00DC54F2"/>
    <w:rsid w:val="00DF5C9C"/>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0B0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F5C9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570F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F5C9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F5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B9FF-FA4D-F04A-9651-1ADD2268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1861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143</cp:revision>
  <dcterms:created xsi:type="dcterms:W3CDTF">2019-10-18T10:25:00Z</dcterms:created>
  <dcterms:modified xsi:type="dcterms:W3CDTF">2021-10-06T09:38:00Z</dcterms:modified>
</cp:coreProperties>
</file>