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685A0EA4" w14:textId="77777777" w:rsidTr="00E17723">
        <w:tc>
          <w:tcPr>
            <w:tcW w:w="1980" w:type="dxa"/>
          </w:tcPr>
          <w:p w14:paraId="703EB068" w14:textId="77777777" w:rsidR="000D42B6" w:rsidRPr="00B07AC9" w:rsidRDefault="000D42B6" w:rsidP="005A0621">
            <w:pPr>
              <w:rPr>
                <w:b/>
                <w:sz w:val="32"/>
                <w:szCs w:val="32"/>
                <w:lang w:val="nl-BE"/>
              </w:rPr>
            </w:pPr>
            <w:r w:rsidRPr="00B07AC9">
              <w:rPr>
                <w:b/>
                <w:sz w:val="32"/>
                <w:szCs w:val="32"/>
                <w:lang w:val="nl-BE"/>
              </w:rPr>
              <w:t xml:space="preserve">ARTIKEL </w:t>
            </w:r>
            <w:r w:rsidR="00503582">
              <w:rPr>
                <w:b/>
                <w:sz w:val="32"/>
                <w:szCs w:val="32"/>
                <w:lang w:val="nl-BE"/>
              </w:rPr>
              <w:t>6:1</w:t>
            </w:r>
            <w:r w:rsidR="007B29A3">
              <w:rPr>
                <w:b/>
                <w:sz w:val="32"/>
                <w:szCs w:val="32"/>
                <w:lang w:val="nl-BE"/>
              </w:rPr>
              <w:t>6</w:t>
            </w:r>
          </w:p>
        </w:tc>
        <w:tc>
          <w:tcPr>
            <w:tcW w:w="11765" w:type="dxa"/>
            <w:gridSpan w:val="2"/>
            <w:shd w:val="clear" w:color="auto" w:fill="auto"/>
          </w:tcPr>
          <w:p w14:paraId="30026E9B" w14:textId="77777777" w:rsidR="000D42B6" w:rsidRPr="00382324" w:rsidRDefault="000D42B6" w:rsidP="000D42B6">
            <w:pPr>
              <w:rPr>
                <w:rFonts w:asciiTheme="majorHAnsi" w:eastAsiaTheme="majorEastAsia" w:hAnsiTheme="majorHAnsi" w:cstheme="majorBidi"/>
                <w:b/>
                <w:bCs/>
                <w:color w:val="2E74B5" w:themeColor="accent1" w:themeShade="BF"/>
                <w:sz w:val="32"/>
                <w:szCs w:val="28"/>
                <w:lang w:val="nl-BE"/>
              </w:rPr>
            </w:pPr>
          </w:p>
        </w:tc>
      </w:tr>
      <w:tr w:rsidR="00E91943" w:rsidRPr="00605D15" w14:paraId="015E5BDD" w14:textId="77777777" w:rsidTr="00D63110">
        <w:tc>
          <w:tcPr>
            <w:tcW w:w="13745" w:type="dxa"/>
            <w:gridSpan w:val="3"/>
          </w:tcPr>
          <w:p w14:paraId="61F09DB7" w14:textId="77777777" w:rsidR="00E91943" w:rsidRDefault="00E91943" w:rsidP="00E91943">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66DF6426" w14:textId="77777777" w:rsidR="00E91943" w:rsidRDefault="00E91943" w:rsidP="00E91943">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2311EA83" w14:textId="77777777" w:rsidR="00E91943" w:rsidRPr="00E91943" w:rsidRDefault="00E91943" w:rsidP="00E91943">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605D15" w14:paraId="73214F68" w14:textId="77777777" w:rsidTr="00E17723">
        <w:tc>
          <w:tcPr>
            <w:tcW w:w="1980" w:type="dxa"/>
          </w:tcPr>
          <w:p w14:paraId="1BF6F093" w14:textId="77777777" w:rsidR="005B33B1" w:rsidRPr="00B07AC9" w:rsidRDefault="005B33B1" w:rsidP="000D42B6">
            <w:pPr>
              <w:rPr>
                <w:b/>
                <w:sz w:val="32"/>
                <w:szCs w:val="32"/>
                <w:lang w:val="nl-BE"/>
              </w:rPr>
            </w:pPr>
          </w:p>
        </w:tc>
        <w:tc>
          <w:tcPr>
            <w:tcW w:w="11765" w:type="dxa"/>
            <w:gridSpan w:val="2"/>
            <w:shd w:val="clear" w:color="auto" w:fill="auto"/>
          </w:tcPr>
          <w:p w14:paraId="6B77EF39" w14:textId="77777777" w:rsidR="005B33B1" w:rsidRPr="00382324" w:rsidRDefault="005B33B1" w:rsidP="000D42B6">
            <w:pPr>
              <w:rPr>
                <w:rFonts w:asciiTheme="majorHAnsi" w:eastAsiaTheme="majorEastAsia" w:hAnsiTheme="majorHAnsi" w:cstheme="majorBidi"/>
                <w:b/>
                <w:bCs/>
                <w:color w:val="2E74B5" w:themeColor="accent1" w:themeShade="BF"/>
                <w:sz w:val="32"/>
                <w:szCs w:val="28"/>
                <w:lang w:val="nl-BE"/>
              </w:rPr>
            </w:pPr>
          </w:p>
        </w:tc>
      </w:tr>
      <w:tr w:rsidR="007B29A3" w:rsidRPr="000F2DD3" w14:paraId="4C4CE476" w14:textId="77777777" w:rsidTr="00556C34">
        <w:trPr>
          <w:trHeight w:val="803"/>
        </w:trPr>
        <w:tc>
          <w:tcPr>
            <w:tcW w:w="1980" w:type="dxa"/>
          </w:tcPr>
          <w:p w14:paraId="5FF04E60" w14:textId="77777777" w:rsidR="007B29A3" w:rsidRDefault="007B29A3" w:rsidP="007B29A3">
            <w:pPr>
              <w:spacing w:after="0" w:line="240" w:lineRule="auto"/>
              <w:jc w:val="both"/>
              <w:rPr>
                <w:rFonts w:cs="Calibri"/>
                <w:lang w:val="nl-BE"/>
              </w:rPr>
            </w:pPr>
            <w:r>
              <w:rPr>
                <w:rFonts w:cs="Calibri"/>
                <w:lang w:val="nl-BE"/>
              </w:rPr>
              <w:t>WVV</w:t>
            </w:r>
          </w:p>
        </w:tc>
        <w:tc>
          <w:tcPr>
            <w:tcW w:w="5812" w:type="dxa"/>
            <w:shd w:val="clear" w:color="auto" w:fill="auto"/>
          </w:tcPr>
          <w:p w14:paraId="20FBB3FC" w14:textId="77777777" w:rsidR="007B29A3" w:rsidRPr="007B29A3" w:rsidRDefault="007B29A3" w:rsidP="007B29A3">
            <w:pPr>
              <w:spacing w:after="0" w:line="240" w:lineRule="auto"/>
              <w:jc w:val="both"/>
              <w:rPr>
                <w:rFonts w:cstheme="minorHAnsi"/>
                <w:lang w:val="nl-BE"/>
              </w:rPr>
            </w:pPr>
            <w:r w:rsidRPr="00D41C14">
              <w:rPr>
                <w:rFonts w:cstheme="minorHAnsi"/>
                <w:lang w:val="nl-NL"/>
              </w:rPr>
              <w:t>Niettegenstaande andersluidende bepaling, zijn de oprichters jegens de belanghebbenden hoofdelijk gehouden:</w:t>
            </w:r>
          </w:p>
          <w:p w14:paraId="73348EBB" w14:textId="77777777" w:rsidR="007B29A3" w:rsidRPr="00D41C14" w:rsidRDefault="007B29A3" w:rsidP="007B29A3">
            <w:pPr>
              <w:pStyle w:val="Geenafstand"/>
              <w:jc w:val="both"/>
              <w:rPr>
                <w:rFonts w:cstheme="minorHAnsi"/>
                <w:lang w:val="nl-NL"/>
              </w:rPr>
            </w:pPr>
          </w:p>
          <w:p w14:paraId="42548103" w14:textId="77777777" w:rsidR="007B29A3" w:rsidRPr="00D41C14" w:rsidRDefault="007B29A3" w:rsidP="007B29A3">
            <w:pPr>
              <w:pStyle w:val="Geenafstand"/>
              <w:jc w:val="both"/>
              <w:rPr>
                <w:rFonts w:cstheme="minorHAnsi"/>
                <w:lang w:val="nl-NL"/>
              </w:rPr>
            </w:pPr>
            <w:r w:rsidRPr="00D41C14">
              <w:rPr>
                <w:rFonts w:cstheme="minorHAnsi"/>
                <w:lang w:val="nl-NL"/>
              </w:rPr>
              <w:t>1° voor de aandelen waarvoor niet op geldige wijze zou zijn ingeschreven overeenkomstig artikel 6:6; zij worden van rechtswege als inschrijvers ervan beschouwd;</w:t>
            </w:r>
          </w:p>
          <w:p w14:paraId="3EE62B47" w14:textId="77777777" w:rsidR="007B29A3" w:rsidRPr="00D41C14" w:rsidRDefault="007B29A3" w:rsidP="007B29A3">
            <w:pPr>
              <w:pStyle w:val="Geenafstand"/>
              <w:jc w:val="both"/>
              <w:rPr>
                <w:rFonts w:cstheme="minorHAnsi"/>
                <w:lang w:val="nl-NL"/>
              </w:rPr>
            </w:pPr>
          </w:p>
          <w:p w14:paraId="1F171ECF" w14:textId="77777777" w:rsidR="007B29A3" w:rsidRPr="00D41C14" w:rsidRDefault="007B29A3" w:rsidP="007B29A3">
            <w:pPr>
              <w:pStyle w:val="Geenafstand"/>
              <w:jc w:val="both"/>
              <w:rPr>
                <w:rFonts w:cstheme="minorHAnsi"/>
                <w:lang w:val="nl-NL"/>
              </w:rPr>
            </w:pPr>
            <w:r w:rsidRPr="00D41C14">
              <w:rPr>
                <w:rFonts w:cstheme="minorHAnsi"/>
                <w:lang w:val="nl-NL"/>
              </w:rPr>
              <w:t>2° tot werkelijke storting van de aandelen waarvoor zij overeenkomstig de bepaling onder 1° als inschrijvers worden beschouwd;</w:t>
            </w:r>
          </w:p>
          <w:p w14:paraId="5505A0C6" w14:textId="77777777" w:rsidR="007B29A3" w:rsidRPr="00D41C14" w:rsidRDefault="007B29A3" w:rsidP="007B29A3">
            <w:pPr>
              <w:pStyle w:val="Geenafstand"/>
              <w:jc w:val="both"/>
              <w:rPr>
                <w:rFonts w:cstheme="minorHAnsi"/>
                <w:lang w:val="nl-NL"/>
              </w:rPr>
            </w:pPr>
          </w:p>
          <w:p w14:paraId="53F5A0E6" w14:textId="77777777" w:rsidR="007B29A3" w:rsidRPr="00556C34" w:rsidRDefault="007B29A3" w:rsidP="007B29A3">
            <w:pPr>
              <w:spacing w:after="0" w:line="240" w:lineRule="auto"/>
              <w:jc w:val="both"/>
              <w:rPr>
                <w:rFonts w:cstheme="minorHAnsi"/>
                <w:lang w:val="nl-NL"/>
              </w:rPr>
            </w:pPr>
            <w:r w:rsidRPr="00D41C14">
              <w:rPr>
                <w:rFonts w:cstheme="minorHAnsi"/>
                <w:lang w:val="nl-NL"/>
              </w:rPr>
              <w:t>3° tot volstorting van de aandelen waarop is ingeschreven in strijd met artikel 6:7.</w:t>
            </w:r>
          </w:p>
        </w:tc>
        <w:tc>
          <w:tcPr>
            <w:tcW w:w="5953" w:type="dxa"/>
            <w:shd w:val="clear" w:color="auto" w:fill="auto"/>
          </w:tcPr>
          <w:p w14:paraId="112A70A6" w14:textId="77777777" w:rsidR="007B29A3" w:rsidRPr="007B29A3" w:rsidRDefault="007B29A3" w:rsidP="007B29A3">
            <w:pPr>
              <w:spacing w:after="0" w:line="240" w:lineRule="auto"/>
              <w:jc w:val="both"/>
              <w:rPr>
                <w:rFonts w:cstheme="minorHAnsi"/>
                <w:lang w:val="fr-FR"/>
              </w:rPr>
            </w:pPr>
            <w:r w:rsidRPr="00D41C14">
              <w:rPr>
                <w:rFonts w:cstheme="minorHAnsi"/>
                <w:lang w:val="fr-BE"/>
              </w:rPr>
              <w:t>Nonobstant toute disposition contraire, les fondateurs sont tenus solidairement envers les intéressés:</w:t>
            </w:r>
          </w:p>
          <w:p w14:paraId="243042A9" w14:textId="77777777" w:rsidR="007B29A3" w:rsidRPr="00D41C14" w:rsidRDefault="007B29A3" w:rsidP="007B29A3">
            <w:pPr>
              <w:pStyle w:val="Geenafstand"/>
              <w:jc w:val="both"/>
              <w:rPr>
                <w:rFonts w:cstheme="minorHAnsi"/>
                <w:lang w:val="fr-BE"/>
              </w:rPr>
            </w:pPr>
          </w:p>
          <w:p w14:paraId="6A7A0344" w14:textId="77777777" w:rsidR="007B29A3" w:rsidRPr="00D41C14" w:rsidRDefault="007B29A3" w:rsidP="007B29A3">
            <w:pPr>
              <w:pStyle w:val="Geenafstand"/>
              <w:jc w:val="both"/>
              <w:rPr>
                <w:rFonts w:cstheme="minorHAnsi"/>
                <w:lang w:val="fr-BE"/>
              </w:rPr>
            </w:pPr>
            <w:r w:rsidRPr="00D41C14">
              <w:rPr>
                <w:rFonts w:cstheme="minorHAnsi"/>
                <w:lang w:val="fr-BE"/>
              </w:rPr>
              <w:t>1° des actions qui ne seraient pas valablement souscrites conformément à l’article 6:6; ils en sont de plein droit réputés souscripteurs;</w:t>
            </w:r>
          </w:p>
          <w:p w14:paraId="65DC388B" w14:textId="77777777" w:rsidR="007B29A3" w:rsidRPr="00D41C14" w:rsidRDefault="007B29A3" w:rsidP="007B29A3">
            <w:pPr>
              <w:pStyle w:val="Geenafstand"/>
              <w:jc w:val="both"/>
              <w:rPr>
                <w:rFonts w:cstheme="minorHAnsi"/>
                <w:lang w:val="fr-BE"/>
              </w:rPr>
            </w:pPr>
          </w:p>
          <w:p w14:paraId="4C721B77" w14:textId="77777777" w:rsidR="007B29A3" w:rsidRPr="00D41C14" w:rsidRDefault="007B29A3" w:rsidP="007B29A3">
            <w:pPr>
              <w:pStyle w:val="Geenafstand"/>
              <w:jc w:val="both"/>
              <w:rPr>
                <w:rFonts w:cstheme="minorHAnsi"/>
                <w:lang w:val="fr-BE"/>
              </w:rPr>
            </w:pPr>
            <w:r w:rsidRPr="00D41C14">
              <w:rPr>
                <w:rFonts w:cstheme="minorHAnsi"/>
                <w:lang w:val="fr-BE"/>
              </w:rPr>
              <w:t>2° de la libération effective des actions dont ils sont réputés souscripteurs en vertu du 1°;</w:t>
            </w:r>
          </w:p>
          <w:p w14:paraId="50947E72" w14:textId="77777777" w:rsidR="007B29A3" w:rsidRPr="00D41C14" w:rsidRDefault="007B29A3" w:rsidP="007B29A3">
            <w:pPr>
              <w:pStyle w:val="Geenafstand"/>
              <w:jc w:val="both"/>
              <w:rPr>
                <w:rFonts w:cstheme="minorHAnsi"/>
                <w:lang w:val="fr-BE"/>
              </w:rPr>
            </w:pPr>
          </w:p>
          <w:p w14:paraId="6BC3A990" w14:textId="77777777" w:rsidR="007B29A3" w:rsidRPr="00083E18" w:rsidRDefault="007B29A3" w:rsidP="007B29A3">
            <w:pPr>
              <w:spacing w:after="0" w:line="240" w:lineRule="auto"/>
              <w:jc w:val="both"/>
              <w:rPr>
                <w:rFonts w:cstheme="minorHAnsi"/>
                <w:lang w:val="fr-BE"/>
              </w:rPr>
            </w:pPr>
            <w:r w:rsidRPr="00D41C14">
              <w:rPr>
                <w:rFonts w:cstheme="minorHAnsi"/>
                <w:lang w:val="fr-BE"/>
              </w:rPr>
              <w:t>3° de la libération des actions souscrites en violation de l’article 6:7.</w:t>
            </w:r>
          </w:p>
        </w:tc>
      </w:tr>
      <w:tr w:rsidR="002B2240" w:rsidRPr="000F2DD3" w14:paraId="229E041E" w14:textId="77777777" w:rsidTr="002B2240">
        <w:trPr>
          <w:trHeight w:val="381"/>
        </w:trPr>
        <w:tc>
          <w:tcPr>
            <w:tcW w:w="1980" w:type="dxa"/>
          </w:tcPr>
          <w:p w14:paraId="64201FDC" w14:textId="0B279B17" w:rsidR="002B2240" w:rsidRDefault="002B2240" w:rsidP="007B29A3">
            <w:pPr>
              <w:spacing w:after="0" w:line="240" w:lineRule="auto"/>
              <w:jc w:val="both"/>
              <w:rPr>
                <w:rFonts w:cs="Calibri"/>
                <w:lang w:val="nl-BE"/>
              </w:rPr>
            </w:pPr>
            <w:proofErr w:type="spellStart"/>
            <w:r w:rsidRPr="003714AE">
              <w:t>Ontwerp</w:t>
            </w:r>
            <w:proofErr w:type="spellEnd"/>
          </w:p>
        </w:tc>
        <w:tc>
          <w:tcPr>
            <w:tcW w:w="5812" w:type="dxa"/>
            <w:shd w:val="clear" w:color="auto" w:fill="auto"/>
          </w:tcPr>
          <w:p w14:paraId="3F73288B" w14:textId="09756D0B" w:rsidR="002B2240" w:rsidRPr="00D41C14" w:rsidRDefault="002B2240" w:rsidP="007B29A3">
            <w:pPr>
              <w:spacing w:after="0" w:line="240" w:lineRule="auto"/>
              <w:jc w:val="both"/>
              <w:rPr>
                <w:rFonts w:cstheme="minorHAnsi"/>
                <w:lang w:val="nl-NL"/>
              </w:rPr>
            </w:pPr>
            <w:proofErr w:type="spellStart"/>
            <w:r w:rsidRPr="003714AE">
              <w:t>Geen</w:t>
            </w:r>
            <w:proofErr w:type="spellEnd"/>
            <w:r w:rsidRPr="003714AE">
              <w:t xml:space="preserve"> </w:t>
            </w:r>
            <w:proofErr w:type="spellStart"/>
            <w:r w:rsidRPr="003714AE">
              <w:t>artikel</w:t>
            </w:r>
            <w:proofErr w:type="spellEnd"/>
            <w:r>
              <w:t>.</w:t>
            </w:r>
          </w:p>
        </w:tc>
        <w:tc>
          <w:tcPr>
            <w:tcW w:w="5953" w:type="dxa"/>
            <w:shd w:val="clear" w:color="auto" w:fill="auto"/>
          </w:tcPr>
          <w:p w14:paraId="3FE72C5F" w14:textId="78E4EE7F" w:rsidR="002B2240" w:rsidRPr="00D41C14" w:rsidRDefault="002B2240" w:rsidP="007B29A3">
            <w:pPr>
              <w:spacing w:after="0" w:line="240" w:lineRule="auto"/>
              <w:jc w:val="both"/>
              <w:rPr>
                <w:rFonts w:cstheme="minorHAnsi"/>
                <w:lang w:val="fr-BE"/>
              </w:rPr>
            </w:pPr>
            <w:r>
              <w:t xml:space="preserve">Pas </w:t>
            </w:r>
            <w:proofErr w:type="spellStart"/>
            <w:r>
              <w:t>d’article</w:t>
            </w:r>
            <w:proofErr w:type="spellEnd"/>
            <w:r>
              <w:t>.</w:t>
            </w:r>
          </w:p>
        </w:tc>
      </w:tr>
      <w:tr w:rsidR="002B2240" w:rsidRPr="00AB5DE7" w14:paraId="761C592E" w14:textId="77777777" w:rsidTr="00556C34">
        <w:trPr>
          <w:trHeight w:val="426"/>
        </w:trPr>
        <w:tc>
          <w:tcPr>
            <w:tcW w:w="1980" w:type="dxa"/>
          </w:tcPr>
          <w:p w14:paraId="3CE5531E" w14:textId="77777777" w:rsidR="002B2240" w:rsidRPr="00AB5DE7" w:rsidRDefault="002B2240" w:rsidP="007B29A3">
            <w:pPr>
              <w:spacing w:after="0" w:line="240" w:lineRule="auto"/>
              <w:jc w:val="both"/>
              <w:rPr>
                <w:rFonts w:cs="Calibri"/>
                <w:lang w:val="fr-FR"/>
              </w:rPr>
            </w:pPr>
            <w:proofErr w:type="spellStart"/>
            <w:r>
              <w:rPr>
                <w:rFonts w:cs="Calibri"/>
                <w:lang w:val="fr-FR"/>
              </w:rPr>
              <w:t>Voorontwerp</w:t>
            </w:r>
            <w:proofErr w:type="spellEnd"/>
          </w:p>
        </w:tc>
        <w:tc>
          <w:tcPr>
            <w:tcW w:w="5812" w:type="dxa"/>
            <w:shd w:val="clear" w:color="auto" w:fill="auto"/>
          </w:tcPr>
          <w:p w14:paraId="44B26DFB" w14:textId="77777777" w:rsidR="002B2240" w:rsidRPr="00AB5DE7" w:rsidRDefault="002B2240" w:rsidP="007B29A3">
            <w:pPr>
              <w:spacing w:after="0" w:line="240" w:lineRule="auto"/>
              <w:jc w:val="both"/>
              <w:rPr>
                <w:rFonts w:cstheme="minorHAnsi"/>
                <w:lang w:val="fr-FR"/>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p>
        </w:tc>
        <w:tc>
          <w:tcPr>
            <w:tcW w:w="5953" w:type="dxa"/>
            <w:shd w:val="clear" w:color="auto" w:fill="auto"/>
          </w:tcPr>
          <w:p w14:paraId="0C3205FC" w14:textId="77777777" w:rsidR="002B2240" w:rsidRPr="00D41C14" w:rsidRDefault="002B2240" w:rsidP="007B29A3">
            <w:pPr>
              <w:spacing w:after="0" w:line="240" w:lineRule="auto"/>
              <w:jc w:val="both"/>
              <w:rPr>
                <w:rFonts w:cstheme="minorHAnsi"/>
                <w:lang w:val="fr-BE"/>
              </w:rPr>
            </w:pPr>
            <w:r>
              <w:rPr>
                <w:rFonts w:cstheme="minorHAnsi"/>
                <w:lang w:val="fr-BE"/>
              </w:rPr>
              <w:t>Pas d’article.</w:t>
            </w:r>
          </w:p>
        </w:tc>
      </w:tr>
      <w:tr w:rsidR="002B2240" w:rsidRPr="00AB5DE7" w14:paraId="2A1F1ECB" w14:textId="77777777" w:rsidTr="000F2DD3">
        <w:trPr>
          <w:trHeight w:val="411"/>
        </w:trPr>
        <w:tc>
          <w:tcPr>
            <w:tcW w:w="1980" w:type="dxa"/>
          </w:tcPr>
          <w:p w14:paraId="3B4EF414" w14:textId="77777777" w:rsidR="002B2240" w:rsidRPr="003714AE" w:rsidRDefault="002B2240" w:rsidP="000F2DD3">
            <w:pPr>
              <w:spacing w:after="0"/>
            </w:pPr>
            <w:proofErr w:type="spellStart"/>
            <w:r>
              <w:t>MvT</w:t>
            </w:r>
            <w:proofErr w:type="spellEnd"/>
          </w:p>
        </w:tc>
        <w:tc>
          <w:tcPr>
            <w:tcW w:w="5812" w:type="dxa"/>
            <w:shd w:val="clear" w:color="auto" w:fill="auto"/>
          </w:tcPr>
          <w:p w14:paraId="5EF67F5A" w14:textId="77777777" w:rsidR="002B2240" w:rsidRPr="008A0A62" w:rsidRDefault="002B2240" w:rsidP="000F2DD3">
            <w:pPr>
              <w:spacing w:after="0"/>
            </w:pPr>
            <w:proofErr w:type="spellStart"/>
            <w:r w:rsidRPr="008A0A62">
              <w:t>Geen</w:t>
            </w:r>
            <w:proofErr w:type="spellEnd"/>
            <w:r w:rsidRPr="008A0A62">
              <w:t xml:space="preserve"> </w:t>
            </w:r>
            <w:proofErr w:type="spellStart"/>
            <w:r w:rsidRPr="008A0A62">
              <w:t>opmerkingen</w:t>
            </w:r>
            <w:proofErr w:type="spellEnd"/>
            <w:r>
              <w:t>.</w:t>
            </w:r>
          </w:p>
        </w:tc>
        <w:tc>
          <w:tcPr>
            <w:tcW w:w="5953" w:type="dxa"/>
            <w:shd w:val="clear" w:color="auto" w:fill="auto"/>
          </w:tcPr>
          <w:p w14:paraId="3180829A" w14:textId="77777777" w:rsidR="002B2240" w:rsidRDefault="002B2240" w:rsidP="000F2DD3">
            <w:pPr>
              <w:spacing w:after="0"/>
            </w:pPr>
            <w:r w:rsidRPr="008A0A62">
              <w:t xml:space="preserve">Pas de </w:t>
            </w:r>
            <w:proofErr w:type="spellStart"/>
            <w:r w:rsidRPr="008A0A62">
              <w:t>remarques</w:t>
            </w:r>
            <w:proofErr w:type="spellEnd"/>
            <w:r>
              <w:t>.</w:t>
            </w:r>
          </w:p>
        </w:tc>
      </w:tr>
      <w:tr w:rsidR="002B2240" w:rsidRPr="00AB5DE7" w14:paraId="2700B485" w14:textId="77777777" w:rsidTr="000F2DD3">
        <w:trPr>
          <w:trHeight w:val="417"/>
        </w:trPr>
        <w:tc>
          <w:tcPr>
            <w:tcW w:w="1980" w:type="dxa"/>
          </w:tcPr>
          <w:p w14:paraId="06ED2B37" w14:textId="77777777" w:rsidR="002B2240" w:rsidRPr="003714AE" w:rsidRDefault="002B2240" w:rsidP="000F2DD3">
            <w:pPr>
              <w:spacing w:after="0"/>
            </w:pPr>
            <w:proofErr w:type="spellStart"/>
            <w:r>
              <w:t>RvSt</w:t>
            </w:r>
            <w:proofErr w:type="spellEnd"/>
          </w:p>
        </w:tc>
        <w:tc>
          <w:tcPr>
            <w:tcW w:w="5812" w:type="dxa"/>
            <w:shd w:val="clear" w:color="auto" w:fill="auto"/>
          </w:tcPr>
          <w:p w14:paraId="539F8BCF" w14:textId="77777777" w:rsidR="002B2240" w:rsidRPr="00B566A5" w:rsidRDefault="002B2240" w:rsidP="000F2DD3">
            <w:pPr>
              <w:spacing w:after="0"/>
            </w:pPr>
            <w:proofErr w:type="spellStart"/>
            <w:r w:rsidRPr="00B566A5">
              <w:t>Geen</w:t>
            </w:r>
            <w:proofErr w:type="spellEnd"/>
            <w:r w:rsidRPr="00B566A5">
              <w:t xml:space="preserve"> </w:t>
            </w:r>
            <w:proofErr w:type="spellStart"/>
            <w:r w:rsidRPr="00B566A5">
              <w:t>opmerkingen</w:t>
            </w:r>
            <w:proofErr w:type="spellEnd"/>
            <w:r>
              <w:t>.</w:t>
            </w:r>
            <w:bookmarkStart w:id="0" w:name="_GoBack"/>
            <w:bookmarkEnd w:id="0"/>
          </w:p>
        </w:tc>
        <w:tc>
          <w:tcPr>
            <w:tcW w:w="5953" w:type="dxa"/>
            <w:shd w:val="clear" w:color="auto" w:fill="auto"/>
          </w:tcPr>
          <w:p w14:paraId="2AC37232" w14:textId="77777777" w:rsidR="002B2240" w:rsidRDefault="002B2240" w:rsidP="000F2DD3">
            <w:pPr>
              <w:spacing w:after="0"/>
            </w:pPr>
            <w:r w:rsidRPr="00B566A5">
              <w:t xml:space="preserve">Pas de </w:t>
            </w:r>
            <w:proofErr w:type="spellStart"/>
            <w:r w:rsidRPr="00B566A5">
              <w:t>remarques</w:t>
            </w:r>
            <w:proofErr w:type="spellEnd"/>
            <w:r>
              <w:t>.</w:t>
            </w:r>
          </w:p>
        </w:tc>
      </w:tr>
      <w:tr w:rsidR="00605D15" w:rsidRPr="00605D15" w14:paraId="607E5E58" w14:textId="77777777" w:rsidTr="000F2DD3">
        <w:trPr>
          <w:trHeight w:val="417"/>
        </w:trPr>
        <w:tc>
          <w:tcPr>
            <w:tcW w:w="1980" w:type="dxa"/>
          </w:tcPr>
          <w:p w14:paraId="7F177501" w14:textId="6AF64A08" w:rsidR="00605D15" w:rsidRDefault="00605D15" w:rsidP="000F2DD3">
            <w:pPr>
              <w:spacing w:after="0"/>
            </w:pPr>
            <w:proofErr w:type="spellStart"/>
            <w:r>
              <w:t>Amendement</w:t>
            </w:r>
            <w:proofErr w:type="spellEnd"/>
            <w:r>
              <w:t xml:space="preserve"> 542</w:t>
            </w:r>
          </w:p>
        </w:tc>
        <w:tc>
          <w:tcPr>
            <w:tcW w:w="5812" w:type="dxa"/>
            <w:shd w:val="clear" w:color="auto" w:fill="auto"/>
          </w:tcPr>
          <w:p w14:paraId="41F0AFF5" w14:textId="64AE39FA" w:rsidR="00605D15" w:rsidRPr="00605D15" w:rsidRDefault="00605D15" w:rsidP="000F2DD3">
            <w:pPr>
              <w:spacing w:after="0"/>
              <w:rPr>
                <w:lang w:val="nl-NL"/>
              </w:rPr>
            </w:pPr>
            <w:r w:rsidRPr="00605D15">
              <w:rPr>
                <w:lang w:val="nl-NL"/>
              </w:rPr>
              <w:t xml:space="preserve">De tekst is een overeenkomstige herneming van artikel 5:15. </w:t>
            </w:r>
          </w:p>
        </w:tc>
        <w:tc>
          <w:tcPr>
            <w:tcW w:w="5953" w:type="dxa"/>
            <w:shd w:val="clear" w:color="auto" w:fill="auto"/>
          </w:tcPr>
          <w:p w14:paraId="499B28F0" w14:textId="16BD6DCF" w:rsidR="00605D15" w:rsidRPr="00605D15" w:rsidRDefault="00605D15" w:rsidP="000F2DD3">
            <w:pPr>
              <w:spacing w:after="0"/>
              <w:rPr>
                <w:lang w:val="fr-FR"/>
              </w:rPr>
            </w:pPr>
            <w:r w:rsidRPr="00605D15">
              <w:rPr>
                <w:lang w:val="fr-FR"/>
              </w:rPr>
              <w:t xml:space="preserve">Le texte est une reprise conforme de l’article </w:t>
            </w:r>
            <w:proofErr w:type="gramStart"/>
            <w:r w:rsidRPr="00605D15">
              <w:rPr>
                <w:lang w:val="fr-FR"/>
              </w:rPr>
              <w:t>5:</w:t>
            </w:r>
            <w:proofErr w:type="gramEnd"/>
            <w:r w:rsidRPr="00605D15">
              <w:rPr>
                <w:lang w:val="fr-FR"/>
              </w:rPr>
              <w:t xml:space="preserve">15. </w:t>
            </w:r>
          </w:p>
        </w:tc>
      </w:tr>
    </w:tbl>
    <w:p w14:paraId="611A0950" w14:textId="77777777" w:rsidR="000D42B6" w:rsidRPr="00200CB2" w:rsidRDefault="000D42B6">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DAE27" w14:textId="77777777" w:rsidR="00690F42" w:rsidRDefault="00690F42" w:rsidP="000D42B6">
      <w:pPr>
        <w:spacing w:after="0" w:line="240" w:lineRule="auto"/>
      </w:pPr>
      <w:r>
        <w:separator/>
      </w:r>
    </w:p>
  </w:endnote>
  <w:endnote w:type="continuationSeparator" w:id="0">
    <w:p w14:paraId="089818B2" w14:textId="77777777" w:rsidR="00690F42" w:rsidRDefault="00690F42"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E5BDA" w14:textId="77777777" w:rsidR="00690F42" w:rsidRDefault="00690F42" w:rsidP="000D42B6">
      <w:pPr>
        <w:spacing w:after="0" w:line="240" w:lineRule="auto"/>
      </w:pPr>
      <w:r>
        <w:separator/>
      </w:r>
    </w:p>
  </w:footnote>
  <w:footnote w:type="continuationSeparator" w:id="0">
    <w:p w14:paraId="3653681B" w14:textId="77777777" w:rsidR="00690F42" w:rsidRDefault="00690F42"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10452"/>
    <w:rsid w:val="00045500"/>
    <w:rsid w:val="000D42B6"/>
    <w:rsid w:val="000F2DD3"/>
    <w:rsid w:val="001777AA"/>
    <w:rsid w:val="00200CB2"/>
    <w:rsid w:val="00202051"/>
    <w:rsid w:val="00266AFF"/>
    <w:rsid w:val="002B2240"/>
    <w:rsid w:val="00311603"/>
    <w:rsid w:val="00393BDA"/>
    <w:rsid w:val="003D46FE"/>
    <w:rsid w:val="003D55CF"/>
    <w:rsid w:val="00417C7D"/>
    <w:rsid w:val="00427696"/>
    <w:rsid w:val="00503582"/>
    <w:rsid w:val="00512C24"/>
    <w:rsid w:val="005407B7"/>
    <w:rsid w:val="00552278"/>
    <w:rsid w:val="00556C34"/>
    <w:rsid w:val="005974AD"/>
    <w:rsid w:val="005A0621"/>
    <w:rsid w:val="005B33B1"/>
    <w:rsid w:val="00605D15"/>
    <w:rsid w:val="00690F42"/>
    <w:rsid w:val="00765777"/>
    <w:rsid w:val="007A6A5E"/>
    <w:rsid w:val="007B29A3"/>
    <w:rsid w:val="00871559"/>
    <w:rsid w:val="008A299A"/>
    <w:rsid w:val="009239BC"/>
    <w:rsid w:val="00950DFB"/>
    <w:rsid w:val="0099503B"/>
    <w:rsid w:val="00A41BE3"/>
    <w:rsid w:val="00A46D88"/>
    <w:rsid w:val="00AB5DE7"/>
    <w:rsid w:val="00B0539A"/>
    <w:rsid w:val="00BB0F3C"/>
    <w:rsid w:val="00DC54F2"/>
    <w:rsid w:val="00E17723"/>
    <w:rsid w:val="00E4765D"/>
    <w:rsid w:val="00E91943"/>
    <w:rsid w:val="00EC7E26"/>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5C24"/>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paragraph" w:styleId="Lijstalinea">
    <w:name w:val="List Paragraph"/>
    <w:basedOn w:val="Standaard"/>
    <w:uiPriority w:val="34"/>
    <w:qFormat/>
    <w:rsid w:val="00E91943"/>
    <w:pPr>
      <w:spacing w:before="100" w:beforeAutospacing="1" w:after="100" w:afterAutospacing="1" w:line="240" w:lineRule="auto"/>
    </w:pPr>
    <w:rPr>
      <w:rFonts w:ascii="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49BED-AACA-2B4B-87C7-C21971C3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1367</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27</cp:revision>
  <dcterms:created xsi:type="dcterms:W3CDTF">2019-10-18T10:25:00Z</dcterms:created>
  <dcterms:modified xsi:type="dcterms:W3CDTF">2021-10-05T09:08:00Z</dcterms:modified>
</cp:coreProperties>
</file>