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74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80"/>
        <w:gridCol w:w="5670"/>
        <w:gridCol w:w="6095"/>
      </w:tblGrid>
      <w:tr w:rsidR="000D42B6" w:rsidRPr="002A763A" w14:paraId="05F46532" w14:textId="77777777" w:rsidTr="00E17723">
        <w:tc>
          <w:tcPr>
            <w:tcW w:w="1980" w:type="dxa"/>
          </w:tcPr>
          <w:p w14:paraId="65B1B389" w14:textId="77777777" w:rsidR="000D42B6" w:rsidRPr="00B07AC9" w:rsidRDefault="000D42B6" w:rsidP="00093C6E">
            <w:pPr>
              <w:rPr>
                <w:b/>
                <w:sz w:val="32"/>
                <w:szCs w:val="32"/>
                <w:lang w:val="nl-BE"/>
              </w:rPr>
            </w:pPr>
            <w:r w:rsidRPr="00B07AC9">
              <w:rPr>
                <w:b/>
                <w:sz w:val="32"/>
                <w:szCs w:val="32"/>
                <w:lang w:val="nl-BE"/>
              </w:rPr>
              <w:t xml:space="preserve">ARTIKEL </w:t>
            </w:r>
            <w:r w:rsidR="00642F57">
              <w:rPr>
                <w:b/>
                <w:sz w:val="32"/>
                <w:szCs w:val="32"/>
                <w:lang w:val="nl-BE"/>
              </w:rPr>
              <w:t>6:3</w:t>
            </w:r>
            <w:r w:rsidR="00475FC8">
              <w:rPr>
                <w:b/>
                <w:sz w:val="32"/>
                <w:szCs w:val="32"/>
                <w:lang w:val="nl-BE"/>
              </w:rPr>
              <w:t>9</w:t>
            </w:r>
          </w:p>
        </w:tc>
        <w:tc>
          <w:tcPr>
            <w:tcW w:w="11765" w:type="dxa"/>
            <w:gridSpan w:val="2"/>
            <w:shd w:val="clear" w:color="auto" w:fill="auto"/>
          </w:tcPr>
          <w:p w14:paraId="6D418767" w14:textId="77777777" w:rsidR="000D42B6" w:rsidRPr="00382324" w:rsidRDefault="000D42B6" w:rsidP="00093C6E">
            <w:pPr>
              <w:rPr>
                <w:rFonts w:asciiTheme="majorHAnsi" w:eastAsiaTheme="majorEastAsia" w:hAnsiTheme="majorHAnsi" w:cstheme="majorBidi"/>
                <w:b/>
                <w:bCs/>
                <w:color w:val="2E74B5" w:themeColor="accent1" w:themeShade="BF"/>
                <w:sz w:val="32"/>
                <w:szCs w:val="28"/>
                <w:lang w:val="nl-BE"/>
              </w:rPr>
            </w:pPr>
          </w:p>
        </w:tc>
      </w:tr>
      <w:tr w:rsidR="000947B2" w:rsidRPr="0043596E" w14:paraId="013E182E" w14:textId="77777777" w:rsidTr="008F4C9D">
        <w:tc>
          <w:tcPr>
            <w:tcW w:w="13745" w:type="dxa"/>
            <w:gridSpan w:val="3"/>
          </w:tcPr>
          <w:p w14:paraId="0BDADC80" w14:textId="77777777" w:rsidR="000947B2" w:rsidRDefault="000947B2" w:rsidP="000947B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NOOT VOORAF AAN BOEK 6</w:t>
            </w:r>
          </w:p>
          <w:p w14:paraId="6649C9DA" w14:textId="77777777" w:rsidR="000947B2" w:rsidRDefault="000947B2" w:rsidP="000947B2">
            <w:pPr>
              <w:pStyle w:val="Lijstalinea"/>
              <w:spacing w:before="0" w:beforeAutospacing="0" w:after="0" w:afterAutospacing="0"/>
              <w:rPr>
                <w:rFonts w:ascii="Calibri" w:hAnsi="Calibri"/>
                <w:color w:val="000000"/>
                <w:sz w:val="22"/>
                <w:szCs w:val="22"/>
              </w:rPr>
            </w:pPr>
            <w:r>
              <w:rPr>
                <w:rFonts w:ascii="Calibri" w:hAnsi="Calibri"/>
                <w:b/>
                <w:bCs/>
                <w:color w:val="000000"/>
                <w:sz w:val="22"/>
                <w:szCs w:val="22"/>
              </w:rPr>
              <w:t> </w:t>
            </w:r>
          </w:p>
          <w:p w14:paraId="37D1A89B" w14:textId="77777777" w:rsidR="000947B2" w:rsidRPr="000947B2" w:rsidRDefault="000947B2" w:rsidP="000947B2">
            <w:pPr>
              <w:pStyle w:val="Lijstalinea"/>
              <w:spacing w:before="0" w:beforeAutospacing="0" w:after="0" w:afterAutospacing="0"/>
              <w:jc w:val="both"/>
              <w:rPr>
                <w:rFonts w:ascii="Calibri" w:hAnsi="Calibri"/>
                <w:color w:val="000000"/>
                <w:sz w:val="22"/>
                <w:szCs w:val="22"/>
              </w:rPr>
            </w:pPr>
            <w:r>
              <w:rPr>
                <w:rFonts w:ascii="Calibri" w:hAnsi="Calibri"/>
                <w:b/>
                <w:bCs/>
                <w:color w:val="000000"/>
                <w:sz w:val="22"/>
                <w:szCs w:val="22"/>
              </w:rPr>
              <w:t>Het ontworpen boek 6, dat 13 artikelen telde, werd middels amendement 542 vervangen door een volledig nieuw boek bestaande uit 128 artikelen. We hanteren uiteraard de nummering van het aangenomen WVV, maar vermelden naast de verantwoording bij het amendement in voorkomend geval ook de inhoudelijk overeenkomstige passage uit de ontwerpteksten en de memorie van toelichting.</w:t>
            </w:r>
          </w:p>
        </w:tc>
      </w:tr>
      <w:tr w:rsidR="005B33B1" w:rsidRPr="0043596E" w14:paraId="2EE6E910" w14:textId="77777777" w:rsidTr="00E17723">
        <w:tc>
          <w:tcPr>
            <w:tcW w:w="1980" w:type="dxa"/>
          </w:tcPr>
          <w:p w14:paraId="46325655" w14:textId="77777777" w:rsidR="005B33B1" w:rsidRPr="00B07AC9" w:rsidRDefault="005B33B1" w:rsidP="00093C6E">
            <w:pPr>
              <w:rPr>
                <w:b/>
                <w:sz w:val="32"/>
                <w:szCs w:val="32"/>
                <w:lang w:val="nl-BE"/>
              </w:rPr>
            </w:pPr>
          </w:p>
        </w:tc>
        <w:tc>
          <w:tcPr>
            <w:tcW w:w="11765" w:type="dxa"/>
            <w:gridSpan w:val="2"/>
            <w:shd w:val="clear" w:color="auto" w:fill="auto"/>
          </w:tcPr>
          <w:p w14:paraId="1426C882" w14:textId="77777777" w:rsidR="005B33B1" w:rsidRPr="00382324" w:rsidRDefault="005B33B1" w:rsidP="00093C6E">
            <w:pPr>
              <w:rPr>
                <w:rFonts w:asciiTheme="majorHAnsi" w:eastAsiaTheme="majorEastAsia" w:hAnsiTheme="majorHAnsi" w:cstheme="majorBidi"/>
                <w:b/>
                <w:bCs/>
                <w:color w:val="2E74B5" w:themeColor="accent1" w:themeShade="BF"/>
                <w:sz w:val="32"/>
                <w:szCs w:val="28"/>
                <w:lang w:val="nl-BE"/>
              </w:rPr>
            </w:pPr>
          </w:p>
        </w:tc>
      </w:tr>
      <w:tr w:rsidR="00475FC8" w:rsidRPr="00475FC8" w14:paraId="339FE0CC" w14:textId="77777777" w:rsidTr="00014942">
        <w:trPr>
          <w:trHeight w:val="803"/>
        </w:trPr>
        <w:tc>
          <w:tcPr>
            <w:tcW w:w="1980" w:type="dxa"/>
          </w:tcPr>
          <w:p w14:paraId="6B87C960" w14:textId="77777777" w:rsidR="00475FC8" w:rsidRDefault="00475FC8" w:rsidP="00093C6E">
            <w:pPr>
              <w:spacing w:after="0" w:line="240" w:lineRule="auto"/>
              <w:jc w:val="both"/>
              <w:rPr>
                <w:rFonts w:cs="Calibri"/>
                <w:lang w:val="nl-BE"/>
              </w:rPr>
            </w:pPr>
            <w:r>
              <w:rPr>
                <w:rFonts w:cs="Calibri"/>
                <w:lang w:val="nl-BE"/>
              </w:rPr>
              <w:t>WVV</w:t>
            </w:r>
          </w:p>
        </w:tc>
        <w:tc>
          <w:tcPr>
            <w:tcW w:w="5670" w:type="dxa"/>
            <w:shd w:val="clear" w:color="auto" w:fill="auto"/>
          </w:tcPr>
          <w:p w14:paraId="53455B6A" w14:textId="6EB77F85" w:rsidR="00475FC8" w:rsidRPr="00740DB8" w:rsidRDefault="000D1783" w:rsidP="00093C6E">
            <w:pPr>
              <w:spacing w:after="0" w:line="240" w:lineRule="auto"/>
              <w:jc w:val="both"/>
              <w:rPr>
                <w:rFonts w:cstheme="minorHAnsi"/>
                <w:szCs w:val="20"/>
                <w:lang w:val="nl-BE"/>
              </w:rPr>
            </w:pPr>
            <w:hyperlink w:anchor="_Amendement_542" w:history="1">
              <w:r w:rsidR="00475FC8" w:rsidRPr="000D1783">
                <w:rPr>
                  <w:rStyle w:val="Hyperlink"/>
                  <w:rFonts w:cstheme="minorHAnsi"/>
                  <w:szCs w:val="20"/>
                  <w:lang w:val="nl-NL"/>
                </w:rPr>
                <w:t>De vennootschap moet minstens drie aandelen uitgeven met stemrecht. Een aandeel kan slechts worden uitgegeven in ruil voor een inbreng.</w:t>
              </w:r>
            </w:hyperlink>
          </w:p>
        </w:tc>
        <w:tc>
          <w:tcPr>
            <w:tcW w:w="6095" w:type="dxa"/>
            <w:shd w:val="clear" w:color="auto" w:fill="auto"/>
          </w:tcPr>
          <w:p w14:paraId="26D0CEF2" w14:textId="4DD1DE38" w:rsidR="00475FC8" w:rsidRPr="00475FC8" w:rsidRDefault="000D1783" w:rsidP="00093C6E">
            <w:pPr>
              <w:spacing w:after="0" w:line="240" w:lineRule="auto"/>
              <w:jc w:val="both"/>
              <w:rPr>
                <w:rFonts w:cstheme="minorHAnsi"/>
                <w:szCs w:val="20"/>
                <w:lang w:val="fr-FR"/>
              </w:rPr>
            </w:pPr>
            <w:hyperlink w:anchor="_Amendement_542_1" w:history="1">
              <w:r w:rsidR="00475FC8" w:rsidRPr="000D1783">
                <w:rPr>
                  <w:rStyle w:val="Hyperlink"/>
                  <w:rFonts w:cstheme="minorHAnsi"/>
                  <w:szCs w:val="20"/>
                  <w:lang w:val="fr-BE"/>
                </w:rPr>
                <w:t>La société doit émettre au moins trois actions avec droit de vote. Chaque action est émise en contrepartie d’un apport.</w:t>
              </w:r>
            </w:hyperlink>
          </w:p>
        </w:tc>
      </w:tr>
      <w:tr w:rsidR="00372CAA" w:rsidRPr="00475FC8" w14:paraId="77DBF729" w14:textId="77777777" w:rsidTr="00372CAA">
        <w:trPr>
          <w:trHeight w:val="423"/>
        </w:trPr>
        <w:tc>
          <w:tcPr>
            <w:tcW w:w="1980" w:type="dxa"/>
          </w:tcPr>
          <w:p w14:paraId="665C6C23" w14:textId="3EA8480E" w:rsidR="00372CAA" w:rsidRDefault="00372CAA" w:rsidP="00093C6E">
            <w:pPr>
              <w:spacing w:after="0" w:line="240" w:lineRule="auto"/>
              <w:jc w:val="both"/>
              <w:rPr>
                <w:rFonts w:cs="Calibri"/>
                <w:lang w:val="nl-BE"/>
              </w:rPr>
            </w:pPr>
            <w:proofErr w:type="spellStart"/>
            <w:r w:rsidRPr="00EA1753">
              <w:t>Ontwerp</w:t>
            </w:r>
            <w:proofErr w:type="spellEnd"/>
          </w:p>
        </w:tc>
        <w:tc>
          <w:tcPr>
            <w:tcW w:w="5670" w:type="dxa"/>
            <w:shd w:val="clear" w:color="auto" w:fill="auto"/>
          </w:tcPr>
          <w:p w14:paraId="02AD6CAF" w14:textId="58E11484" w:rsidR="00372CAA" w:rsidRPr="00D41C14" w:rsidRDefault="00372CAA" w:rsidP="00093C6E">
            <w:pPr>
              <w:spacing w:after="0" w:line="240" w:lineRule="auto"/>
              <w:jc w:val="both"/>
              <w:rPr>
                <w:rFonts w:cstheme="minorHAnsi"/>
                <w:szCs w:val="20"/>
                <w:lang w:val="nl-NL"/>
              </w:rPr>
            </w:pPr>
            <w:proofErr w:type="spellStart"/>
            <w:r w:rsidRPr="00EA1753">
              <w:t>Geen</w:t>
            </w:r>
            <w:proofErr w:type="spellEnd"/>
            <w:r w:rsidRPr="00EA1753">
              <w:t xml:space="preserve"> </w:t>
            </w:r>
            <w:proofErr w:type="spellStart"/>
            <w:r w:rsidRPr="00EA1753">
              <w:t>artikel</w:t>
            </w:r>
            <w:proofErr w:type="spellEnd"/>
            <w:r>
              <w:t>.</w:t>
            </w:r>
          </w:p>
        </w:tc>
        <w:tc>
          <w:tcPr>
            <w:tcW w:w="6095" w:type="dxa"/>
            <w:shd w:val="clear" w:color="auto" w:fill="auto"/>
          </w:tcPr>
          <w:p w14:paraId="522F339D" w14:textId="4DDD02CA" w:rsidR="00372CAA" w:rsidRPr="00D41C14" w:rsidRDefault="00372CAA" w:rsidP="00093C6E">
            <w:pPr>
              <w:spacing w:after="0" w:line="240" w:lineRule="auto"/>
              <w:jc w:val="both"/>
              <w:rPr>
                <w:rFonts w:cstheme="minorHAnsi"/>
                <w:szCs w:val="20"/>
                <w:lang w:val="fr-BE"/>
              </w:rPr>
            </w:pPr>
            <w:r>
              <w:t xml:space="preserve">Pas </w:t>
            </w:r>
            <w:proofErr w:type="spellStart"/>
            <w:r>
              <w:t>d’article</w:t>
            </w:r>
            <w:proofErr w:type="spellEnd"/>
            <w:r>
              <w:t>.</w:t>
            </w:r>
          </w:p>
        </w:tc>
      </w:tr>
      <w:tr w:rsidR="00372CAA" w:rsidRPr="00475FC8" w14:paraId="04A81DEA" w14:textId="77777777" w:rsidTr="00014942">
        <w:trPr>
          <w:trHeight w:val="417"/>
        </w:trPr>
        <w:tc>
          <w:tcPr>
            <w:tcW w:w="1980" w:type="dxa"/>
          </w:tcPr>
          <w:p w14:paraId="177FC582" w14:textId="77777777" w:rsidR="00372CAA" w:rsidRDefault="00372CAA" w:rsidP="00093C6E">
            <w:pPr>
              <w:spacing w:after="0" w:line="240" w:lineRule="auto"/>
              <w:jc w:val="both"/>
              <w:rPr>
                <w:rFonts w:cs="Calibri"/>
                <w:lang w:val="nl-BE"/>
              </w:rPr>
            </w:pPr>
            <w:proofErr w:type="spellStart"/>
            <w:r>
              <w:rPr>
                <w:rFonts w:cs="Calibri"/>
                <w:lang w:val="fr-FR"/>
              </w:rPr>
              <w:t>Voorontwerp</w:t>
            </w:r>
            <w:proofErr w:type="spellEnd"/>
          </w:p>
        </w:tc>
        <w:tc>
          <w:tcPr>
            <w:tcW w:w="5670" w:type="dxa"/>
            <w:shd w:val="clear" w:color="auto" w:fill="auto"/>
          </w:tcPr>
          <w:p w14:paraId="1BC8C613" w14:textId="77777777" w:rsidR="00372CAA" w:rsidRPr="00D41C14" w:rsidRDefault="00372CAA" w:rsidP="00093C6E">
            <w:pPr>
              <w:spacing w:after="0" w:line="240" w:lineRule="auto"/>
              <w:jc w:val="both"/>
              <w:rPr>
                <w:rFonts w:cstheme="minorHAnsi"/>
                <w:szCs w:val="20"/>
                <w:lang w:val="nl-NL"/>
              </w:rPr>
            </w:pPr>
            <w:r>
              <w:rPr>
                <w:rFonts w:cstheme="minorHAnsi"/>
                <w:szCs w:val="20"/>
                <w:lang w:val="nl-NL"/>
              </w:rPr>
              <w:t>Geen artikel.</w:t>
            </w:r>
          </w:p>
        </w:tc>
        <w:tc>
          <w:tcPr>
            <w:tcW w:w="6095" w:type="dxa"/>
            <w:shd w:val="clear" w:color="auto" w:fill="auto"/>
          </w:tcPr>
          <w:p w14:paraId="00638313" w14:textId="77777777" w:rsidR="00372CAA" w:rsidRPr="00D41C14" w:rsidRDefault="00372CAA" w:rsidP="00093C6E">
            <w:pPr>
              <w:spacing w:after="0" w:line="240" w:lineRule="auto"/>
              <w:jc w:val="both"/>
              <w:rPr>
                <w:rFonts w:cstheme="minorHAnsi"/>
                <w:szCs w:val="20"/>
                <w:lang w:val="fr-BE"/>
              </w:rPr>
            </w:pPr>
            <w:r>
              <w:rPr>
                <w:rFonts w:cstheme="minorHAnsi"/>
                <w:szCs w:val="20"/>
                <w:lang w:val="fr-BE"/>
              </w:rPr>
              <w:t>Pas d’article.</w:t>
            </w:r>
          </w:p>
        </w:tc>
      </w:tr>
      <w:tr w:rsidR="00372CAA" w:rsidRPr="00475FC8" w14:paraId="0848FAD4" w14:textId="77777777" w:rsidTr="00093C6E">
        <w:trPr>
          <w:trHeight w:val="401"/>
        </w:trPr>
        <w:tc>
          <w:tcPr>
            <w:tcW w:w="1980" w:type="dxa"/>
          </w:tcPr>
          <w:p w14:paraId="1FA74399" w14:textId="77777777" w:rsidR="00372CAA" w:rsidRPr="00EA1753" w:rsidRDefault="00372CAA" w:rsidP="00093C6E">
            <w:pPr>
              <w:spacing w:after="0"/>
            </w:pPr>
            <w:proofErr w:type="spellStart"/>
            <w:r>
              <w:t>MvT</w:t>
            </w:r>
            <w:proofErr w:type="spellEnd"/>
          </w:p>
        </w:tc>
        <w:tc>
          <w:tcPr>
            <w:tcW w:w="5670" w:type="dxa"/>
            <w:shd w:val="clear" w:color="auto" w:fill="auto"/>
          </w:tcPr>
          <w:p w14:paraId="6ED916C7" w14:textId="77777777" w:rsidR="00372CAA" w:rsidRPr="00B566A5" w:rsidRDefault="00372CAA" w:rsidP="00093C6E">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6095" w:type="dxa"/>
            <w:shd w:val="clear" w:color="auto" w:fill="auto"/>
          </w:tcPr>
          <w:p w14:paraId="194BB41A" w14:textId="77777777" w:rsidR="00372CAA" w:rsidRDefault="00372CAA" w:rsidP="00093C6E">
            <w:pPr>
              <w:spacing w:after="0"/>
            </w:pPr>
            <w:r w:rsidRPr="00B566A5">
              <w:t xml:space="preserve">Pas de </w:t>
            </w:r>
            <w:proofErr w:type="spellStart"/>
            <w:r w:rsidRPr="00B566A5">
              <w:t>remarques</w:t>
            </w:r>
            <w:proofErr w:type="spellEnd"/>
            <w:r>
              <w:t>.</w:t>
            </w:r>
          </w:p>
        </w:tc>
      </w:tr>
      <w:tr w:rsidR="00372CAA" w:rsidRPr="00475FC8" w14:paraId="3B9910FC" w14:textId="77777777" w:rsidTr="0043596E">
        <w:trPr>
          <w:trHeight w:val="380"/>
        </w:trPr>
        <w:tc>
          <w:tcPr>
            <w:tcW w:w="1980" w:type="dxa"/>
          </w:tcPr>
          <w:p w14:paraId="72CB3F06" w14:textId="77777777" w:rsidR="00372CAA" w:rsidRPr="00EA1753" w:rsidRDefault="00372CAA" w:rsidP="00093C6E">
            <w:pPr>
              <w:spacing w:after="0"/>
            </w:pPr>
            <w:proofErr w:type="spellStart"/>
            <w:r>
              <w:t>RvSt</w:t>
            </w:r>
            <w:proofErr w:type="spellEnd"/>
          </w:p>
        </w:tc>
        <w:tc>
          <w:tcPr>
            <w:tcW w:w="5670" w:type="dxa"/>
            <w:shd w:val="clear" w:color="auto" w:fill="auto"/>
          </w:tcPr>
          <w:p w14:paraId="7A3DC93B" w14:textId="77777777" w:rsidR="00372CAA" w:rsidRPr="00B566A5" w:rsidRDefault="00372CAA" w:rsidP="00093C6E">
            <w:pPr>
              <w:spacing w:after="0"/>
            </w:pPr>
            <w:proofErr w:type="spellStart"/>
            <w:r w:rsidRPr="00B566A5">
              <w:t>Geen</w:t>
            </w:r>
            <w:proofErr w:type="spellEnd"/>
            <w:r w:rsidRPr="00B566A5">
              <w:t xml:space="preserve"> </w:t>
            </w:r>
            <w:proofErr w:type="spellStart"/>
            <w:r w:rsidRPr="00B566A5">
              <w:t>opmerkingen</w:t>
            </w:r>
            <w:proofErr w:type="spellEnd"/>
            <w:r>
              <w:t>.</w:t>
            </w:r>
          </w:p>
        </w:tc>
        <w:tc>
          <w:tcPr>
            <w:tcW w:w="6095" w:type="dxa"/>
            <w:shd w:val="clear" w:color="auto" w:fill="auto"/>
          </w:tcPr>
          <w:p w14:paraId="2F5DC69C" w14:textId="77777777" w:rsidR="00372CAA" w:rsidRDefault="00372CAA" w:rsidP="00093C6E">
            <w:pPr>
              <w:spacing w:after="0"/>
            </w:pPr>
            <w:r w:rsidRPr="00B566A5">
              <w:t xml:space="preserve">Pas de </w:t>
            </w:r>
            <w:proofErr w:type="spellStart"/>
            <w:r w:rsidRPr="00B566A5">
              <w:t>remarques</w:t>
            </w:r>
            <w:proofErr w:type="spellEnd"/>
            <w:r>
              <w:t>.</w:t>
            </w:r>
          </w:p>
        </w:tc>
      </w:tr>
      <w:tr w:rsidR="0043596E" w:rsidRPr="002B15BF" w14:paraId="19248D25" w14:textId="77777777" w:rsidTr="0043596E">
        <w:trPr>
          <w:trHeight w:val="380"/>
        </w:trPr>
        <w:tc>
          <w:tcPr>
            <w:tcW w:w="1980" w:type="dxa"/>
          </w:tcPr>
          <w:p w14:paraId="5A543742" w14:textId="2A4792E5" w:rsidR="0043596E" w:rsidRDefault="0043596E" w:rsidP="000D1783">
            <w:pPr>
              <w:pStyle w:val="Kop1"/>
            </w:pPr>
            <w:bookmarkStart w:id="0" w:name="_Amendement_542"/>
            <w:bookmarkStart w:id="1" w:name="_Amendement_542_1"/>
            <w:bookmarkEnd w:id="0"/>
            <w:bookmarkEnd w:id="1"/>
            <w:proofErr w:type="spellStart"/>
            <w:r>
              <w:t>Amendement</w:t>
            </w:r>
            <w:proofErr w:type="spellEnd"/>
            <w:r>
              <w:t xml:space="preserve"> 542</w:t>
            </w:r>
          </w:p>
        </w:tc>
        <w:tc>
          <w:tcPr>
            <w:tcW w:w="5670" w:type="dxa"/>
            <w:shd w:val="clear" w:color="auto" w:fill="auto"/>
          </w:tcPr>
          <w:p w14:paraId="6BD8D789" w14:textId="5201834C" w:rsidR="0043596E" w:rsidRPr="00464AAF" w:rsidRDefault="00464AAF" w:rsidP="001A54FB">
            <w:pPr>
              <w:spacing w:after="0"/>
              <w:jc w:val="both"/>
              <w:rPr>
                <w:lang w:val="nl-NL"/>
              </w:rPr>
            </w:pPr>
            <w:r w:rsidRPr="00464AAF">
              <w:rPr>
                <w:lang w:val="nl-NL"/>
              </w:rPr>
              <w:t>De tekst is een overe</w:t>
            </w:r>
            <w:r>
              <w:rPr>
                <w:lang w:val="nl-NL"/>
              </w:rPr>
              <w:t>e</w:t>
            </w:r>
            <w:r w:rsidRPr="00464AAF">
              <w:rPr>
                <w:lang w:val="nl-NL"/>
              </w:rPr>
              <w:t>nkomstige </w:t>
            </w:r>
            <w:proofErr w:type="gramStart"/>
            <w:r>
              <w:rPr>
                <w:lang w:val="nl-NL"/>
              </w:rPr>
              <w:t>herneming</w:t>
            </w:r>
            <w:proofErr w:type="gramEnd"/>
            <w:r>
              <w:rPr>
                <w:lang w:val="nl-NL"/>
              </w:rPr>
              <w:t xml:space="preserve"> van </w:t>
            </w:r>
            <w:r w:rsidRPr="00464AAF">
              <w:rPr>
                <w:lang w:val="nl-NL"/>
              </w:rPr>
              <w:t>artikel 5:40, met dien verstande dat de CV minstens drie aandelen met stemrecht moet uitgeven, nu de vennootschap ook door minstens drie personen moet wor</w:t>
            </w:r>
            <w:bookmarkStart w:id="2" w:name="_GoBack"/>
            <w:bookmarkEnd w:id="2"/>
            <w:r w:rsidRPr="00464AAF">
              <w:rPr>
                <w:lang w:val="nl-NL"/>
              </w:rPr>
              <w:t xml:space="preserve">den opgericht. </w:t>
            </w:r>
          </w:p>
        </w:tc>
        <w:tc>
          <w:tcPr>
            <w:tcW w:w="6095" w:type="dxa"/>
            <w:shd w:val="clear" w:color="auto" w:fill="auto"/>
          </w:tcPr>
          <w:p w14:paraId="78D18692" w14:textId="51BDAC17" w:rsidR="0043596E" w:rsidRPr="002B15BF" w:rsidRDefault="002B15BF" w:rsidP="002B15BF">
            <w:pPr>
              <w:spacing w:after="0"/>
              <w:jc w:val="both"/>
              <w:rPr>
                <w:lang w:val="fr-FR"/>
              </w:rPr>
            </w:pPr>
            <w:r w:rsidRPr="002B15BF">
              <w:rPr>
                <w:lang w:val="fr-FR"/>
              </w:rPr>
              <w:t xml:space="preserve">Le texte est une reprise conforme de l’article </w:t>
            </w:r>
            <w:proofErr w:type="gramStart"/>
            <w:r w:rsidRPr="002B15BF">
              <w:rPr>
                <w:lang w:val="fr-FR"/>
              </w:rPr>
              <w:t>5:</w:t>
            </w:r>
            <w:proofErr w:type="gramEnd"/>
            <w:r w:rsidRPr="002B15BF">
              <w:rPr>
                <w:lang w:val="fr-FR"/>
              </w:rPr>
              <w:t xml:space="preserve">40, étant entendu que la SC doit émettre au moins trois actions avec droit de vote, puisque la société doit également être constituée par au moins trois personnes. </w:t>
            </w:r>
          </w:p>
        </w:tc>
      </w:tr>
    </w:tbl>
    <w:p w14:paraId="7A2D63DE" w14:textId="77777777" w:rsidR="000D42B6" w:rsidRPr="00200CB2" w:rsidRDefault="000D42B6" w:rsidP="002E2C50">
      <w:pPr>
        <w:rPr>
          <w:lang w:val="fr-FR"/>
        </w:rPr>
      </w:pPr>
    </w:p>
    <w:sectPr w:rsidR="000D42B6" w:rsidRPr="00200CB2" w:rsidSect="00E1772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480FE" w14:textId="77777777" w:rsidR="006C1894" w:rsidRDefault="006C1894" w:rsidP="000D42B6">
      <w:pPr>
        <w:spacing w:after="0" w:line="240" w:lineRule="auto"/>
      </w:pPr>
      <w:r>
        <w:separator/>
      </w:r>
    </w:p>
  </w:endnote>
  <w:endnote w:type="continuationSeparator" w:id="0">
    <w:p w14:paraId="49784EEC" w14:textId="77777777" w:rsidR="006C1894" w:rsidRDefault="006C1894" w:rsidP="000D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76B5D" w14:textId="77777777" w:rsidR="006C1894" w:rsidRDefault="006C1894" w:rsidP="000D42B6">
      <w:pPr>
        <w:spacing w:after="0" w:line="240" w:lineRule="auto"/>
      </w:pPr>
      <w:r>
        <w:separator/>
      </w:r>
    </w:p>
  </w:footnote>
  <w:footnote w:type="continuationSeparator" w:id="0">
    <w:p w14:paraId="613E1611" w14:textId="77777777" w:rsidR="006C1894" w:rsidRDefault="006C1894" w:rsidP="000D42B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11A7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A5E"/>
    <w:rsid w:val="00010452"/>
    <w:rsid w:val="00014942"/>
    <w:rsid w:val="00034AA1"/>
    <w:rsid w:val="00045500"/>
    <w:rsid w:val="00053660"/>
    <w:rsid w:val="00093C6E"/>
    <w:rsid w:val="000947B2"/>
    <w:rsid w:val="000B434D"/>
    <w:rsid w:val="000D1783"/>
    <w:rsid w:val="000D42B6"/>
    <w:rsid w:val="00153A4F"/>
    <w:rsid w:val="00172BB1"/>
    <w:rsid w:val="001777AA"/>
    <w:rsid w:val="001A0A02"/>
    <w:rsid w:val="001A54FB"/>
    <w:rsid w:val="00200CB2"/>
    <w:rsid w:val="00202051"/>
    <w:rsid w:val="00266AFF"/>
    <w:rsid w:val="002B15BF"/>
    <w:rsid w:val="002E2C50"/>
    <w:rsid w:val="002E77EE"/>
    <w:rsid w:val="00311F1A"/>
    <w:rsid w:val="00372CAA"/>
    <w:rsid w:val="00393BDA"/>
    <w:rsid w:val="003D46FE"/>
    <w:rsid w:val="003D55CF"/>
    <w:rsid w:val="00417C7D"/>
    <w:rsid w:val="00427696"/>
    <w:rsid w:val="0043596E"/>
    <w:rsid w:val="00464AAF"/>
    <w:rsid w:val="00475FC8"/>
    <w:rsid w:val="00503582"/>
    <w:rsid w:val="00512C24"/>
    <w:rsid w:val="005407B7"/>
    <w:rsid w:val="00552278"/>
    <w:rsid w:val="0057031D"/>
    <w:rsid w:val="005974AD"/>
    <w:rsid w:val="005A0621"/>
    <w:rsid w:val="005B33B1"/>
    <w:rsid w:val="006170A4"/>
    <w:rsid w:val="00642F57"/>
    <w:rsid w:val="006C1894"/>
    <w:rsid w:val="007061E6"/>
    <w:rsid w:val="007A6A5E"/>
    <w:rsid w:val="007B29A3"/>
    <w:rsid w:val="00871559"/>
    <w:rsid w:val="008849AC"/>
    <w:rsid w:val="008A299A"/>
    <w:rsid w:val="008D169B"/>
    <w:rsid w:val="008F4707"/>
    <w:rsid w:val="00950DFB"/>
    <w:rsid w:val="009662AF"/>
    <w:rsid w:val="00985EF6"/>
    <w:rsid w:val="0099503B"/>
    <w:rsid w:val="009D1831"/>
    <w:rsid w:val="00A41BE3"/>
    <w:rsid w:val="00A46D88"/>
    <w:rsid w:val="00A97687"/>
    <w:rsid w:val="00B0539A"/>
    <w:rsid w:val="00B2273C"/>
    <w:rsid w:val="00B53841"/>
    <w:rsid w:val="00BB0F3C"/>
    <w:rsid w:val="00BF5937"/>
    <w:rsid w:val="00C43011"/>
    <w:rsid w:val="00C65E21"/>
    <w:rsid w:val="00CE1421"/>
    <w:rsid w:val="00D61286"/>
    <w:rsid w:val="00DA0579"/>
    <w:rsid w:val="00DC54F2"/>
    <w:rsid w:val="00E17723"/>
    <w:rsid w:val="00E8314B"/>
    <w:rsid w:val="00EC7E26"/>
    <w:rsid w:val="00FA09D7"/>
    <w:rsid w:val="00FC1AA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123A"/>
  <w15:chartTrackingRefBased/>
  <w15:docId w15:val="{82808E52-51C0-47E3-9D82-BA2EBE71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7A6A5E"/>
    <w:pPr>
      <w:spacing w:after="200" w:line="276" w:lineRule="auto"/>
    </w:pPr>
    <w:rPr>
      <w:lang w:val="en-GB"/>
    </w:rPr>
  </w:style>
  <w:style w:type="paragraph" w:styleId="Kop1">
    <w:name w:val="heading 1"/>
    <w:basedOn w:val="Standaard"/>
    <w:next w:val="Standaard"/>
    <w:link w:val="Kop1Teken"/>
    <w:uiPriority w:val="9"/>
    <w:qFormat/>
    <w:rsid w:val="000D1783"/>
    <w:pPr>
      <w:keepNext/>
      <w:keepLines/>
      <w:spacing w:before="240" w:after="0"/>
      <w:outlineLvl w:val="0"/>
    </w:pPr>
    <w:rPr>
      <w:rFonts w:eastAsiaTheme="majorEastAsia" w:cstheme="majorBidi"/>
      <w:color w:val="000000" w:themeColor="text1"/>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
    <w:uiPriority w:val="99"/>
    <w:semiHidden/>
    <w:unhideWhenUsed/>
    <w:rsid w:val="007A6A5E"/>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7A6A5E"/>
    <w:rPr>
      <w:rFonts w:ascii="Segoe UI" w:hAnsi="Segoe UI" w:cs="Segoe UI"/>
      <w:sz w:val="18"/>
      <w:szCs w:val="18"/>
      <w:lang w:val="en-GB"/>
    </w:rPr>
  </w:style>
  <w:style w:type="paragraph" w:styleId="Koptekst">
    <w:name w:val="header"/>
    <w:basedOn w:val="Standaard"/>
    <w:link w:val="KoptekstTeken"/>
    <w:uiPriority w:val="99"/>
    <w:unhideWhenUsed/>
    <w:rsid w:val="000D42B6"/>
    <w:pPr>
      <w:tabs>
        <w:tab w:val="center" w:pos="4680"/>
        <w:tab w:val="right" w:pos="9360"/>
      </w:tabs>
      <w:spacing w:after="0" w:line="240" w:lineRule="auto"/>
    </w:pPr>
  </w:style>
  <w:style w:type="character" w:customStyle="1" w:styleId="KoptekstTeken">
    <w:name w:val="Koptekst Teken"/>
    <w:basedOn w:val="Standaardalinea-lettertype"/>
    <w:link w:val="Koptekst"/>
    <w:uiPriority w:val="99"/>
    <w:rsid w:val="000D42B6"/>
    <w:rPr>
      <w:lang w:val="en-GB"/>
    </w:rPr>
  </w:style>
  <w:style w:type="paragraph" w:styleId="Voettekst">
    <w:name w:val="footer"/>
    <w:basedOn w:val="Standaard"/>
    <w:link w:val="VoettekstTeken"/>
    <w:uiPriority w:val="99"/>
    <w:unhideWhenUsed/>
    <w:rsid w:val="000D42B6"/>
    <w:pPr>
      <w:tabs>
        <w:tab w:val="center" w:pos="4680"/>
        <w:tab w:val="right" w:pos="9360"/>
      </w:tabs>
      <w:spacing w:after="0" w:line="240" w:lineRule="auto"/>
    </w:pPr>
  </w:style>
  <w:style w:type="character" w:customStyle="1" w:styleId="VoettekstTeken">
    <w:name w:val="Voettekst Teken"/>
    <w:basedOn w:val="Standaardalinea-lettertype"/>
    <w:link w:val="Voettekst"/>
    <w:uiPriority w:val="99"/>
    <w:rsid w:val="000D42B6"/>
    <w:rPr>
      <w:lang w:val="en-GB"/>
    </w:rPr>
  </w:style>
  <w:style w:type="paragraph" w:styleId="Geenafstand">
    <w:name w:val="No Spacing"/>
    <w:uiPriority w:val="1"/>
    <w:qFormat/>
    <w:rsid w:val="005974AD"/>
    <w:pPr>
      <w:spacing w:after="0" w:line="240" w:lineRule="auto"/>
    </w:pPr>
    <w:rPr>
      <w:lang w:val="nl-BE"/>
    </w:rPr>
  </w:style>
  <w:style w:type="character" w:customStyle="1" w:styleId="cursief">
    <w:name w:val="cursief"/>
    <w:uiPriority w:val="99"/>
    <w:rsid w:val="002E2C50"/>
    <w:rPr>
      <w:i/>
      <w:iCs/>
      <w:vertAlign w:val="baseline"/>
    </w:rPr>
  </w:style>
  <w:style w:type="paragraph" w:styleId="Lijstalinea">
    <w:name w:val="List Paragraph"/>
    <w:basedOn w:val="Standaard"/>
    <w:uiPriority w:val="34"/>
    <w:qFormat/>
    <w:rsid w:val="000947B2"/>
    <w:pPr>
      <w:spacing w:before="100" w:beforeAutospacing="1" w:after="100" w:afterAutospacing="1" w:line="240" w:lineRule="auto"/>
    </w:pPr>
    <w:rPr>
      <w:rFonts w:ascii="Times New Roman" w:hAnsi="Times New Roman" w:cs="Times New Roman"/>
      <w:sz w:val="24"/>
      <w:szCs w:val="24"/>
      <w:lang w:val="nl-NL" w:eastAsia="nl-NL"/>
    </w:rPr>
  </w:style>
  <w:style w:type="character" w:customStyle="1" w:styleId="Kop1Teken">
    <w:name w:val="Kop 1 Teken"/>
    <w:basedOn w:val="Standaardalinea-lettertype"/>
    <w:link w:val="Kop1"/>
    <w:uiPriority w:val="9"/>
    <w:rsid w:val="000D1783"/>
    <w:rPr>
      <w:rFonts w:eastAsiaTheme="majorEastAsia" w:cstheme="majorBidi"/>
      <w:color w:val="000000" w:themeColor="text1"/>
      <w:szCs w:val="32"/>
      <w:lang w:val="en-GB"/>
    </w:rPr>
  </w:style>
  <w:style w:type="character" w:styleId="Hyperlink">
    <w:name w:val="Hyperlink"/>
    <w:basedOn w:val="Standaardalinea-lettertype"/>
    <w:uiPriority w:val="99"/>
    <w:unhideWhenUsed/>
    <w:rsid w:val="000D17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2535E-1676-834F-A24D-24B29A20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1156</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Korkmazer (FOD Justitie - SPF Justice)</dc:creator>
  <cp:keywords/>
  <dc:description/>
  <cp:lastModifiedBy>Microsoft Office-gebruiker</cp:lastModifiedBy>
  <cp:revision>56</cp:revision>
  <dcterms:created xsi:type="dcterms:W3CDTF">2019-10-18T10:25:00Z</dcterms:created>
  <dcterms:modified xsi:type="dcterms:W3CDTF">2021-10-05T18:28:00Z</dcterms:modified>
</cp:coreProperties>
</file>