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953"/>
        <w:gridCol w:w="5812"/>
      </w:tblGrid>
      <w:tr w:rsidR="000D42B6" w:rsidRPr="002A763A" w14:paraId="100D07A7" w14:textId="77777777" w:rsidTr="00E17723">
        <w:tc>
          <w:tcPr>
            <w:tcW w:w="1980" w:type="dxa"/>
          </w:tcPr>
          <w:p w14:paraId="55A663D4" w14:textId="77777777" w:rsidR="000D42B6" w:rsidRPr="00B07AC9" w:rsidRDefault="000D42B6" w:rsidP="00601FB1">
            <w:pPr>
              <w:rPr>
                <w:b/>
                <w:sz w:val="32"/>
                <w:szCs w:val="32"/>
                <w:lang w:val="nl-BE"/>
              </w:rPr>
            </w:pPr>
            <w:r w:rsidRPr="00B07AC9">
              <w:rPr>
                <w:b/>
                <w:sz w:val="32"/>
                <w:szCs w:val="32"/>
                <w:lang w:val="nl-BE"/>
              </w:rPr>
              <w:t xml:space="preserve">ARTIKEL </w:t>
            </w:r>
            <w:r w:rsidR="00D9012C">
              <w:rPr>
                <w:b/>
                <w:sz w:val="32"/>
                <w:szCs w:val="32"/>
                <w:lang w:val="nl-BE"/>
              </w:rPr>
              <w:t>6:4</w:t>
            </w:r>
            <w:r w:rsidR="00047A70">
              <w:rPr>
                <w:b/>
                <w:sz w:val="32"/>
                <w:szCs w:val="32"/>
                <w:lang w:val="nl-BE"/>
              </w:rPr>
              <w:t>4</w:t>
            </w:r>
          </w:p>
        </w:tc>
        <w:tc>
          <w:tcPr>
            <w:tcW w:w="11765" w:type="dxa"/>
            <w:gridSpan w:val="2"/>
            <w:shd w:val="clear" w:color="auto" w:fill="auto"/>
          </w:tcPr>
          <w:p w14:paraId="6B50A669" w14:textId="77777777" w:rsidR="000D42B6" w:rsidRPr="00382324" w:rsidRDefault="000D42B6" w:rsidP="00601FB1">
            <w:pPr>
              <w:rPr>
                <w:rFonts w:asciiTheme="majorHAnsi" w:eastAsiaTheme="majorEastAsia" w:hAnsiTheme="majorHAnsi" w:cstheme="majorBidi"/>
                <w:b/>
                <w:bCs/>
                <w:color w:val="2E74B5" w:themeColor="accent1" w:themeShade="BF"/>
                <w:sz w:val="32"/>
                <w:szCs w:val="28"/>
                <w:lang w:val="nl-BE"/>
              </w:rPr>
            </w:pPr>
          </w:p>
        </w:tc>
      </w:tr>
      <w:tr w:rsidR="008B3682" w:rsidRPr="005E5B88" w14:paraId="5E719746" w14:textId="77777777" w:rsidTr="00D868F4">
        <w:tc>
          <w:tcPr>
            <w:tcW w:w="13745" w:type="dxa"/>
            <w:gridSpan w:val="3"/>
          </w:tcPr>
          <w:p w14:paraId="5EEB4EBC" w14:textId="77777777" w:rsidR="008B3682" w:rsidRDefault="008B3682" w:rsidP="008B3682">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NOOT VOORAF AAN BOEK 6</w:t>
            </w:r>
          </w:p>
          <w:p w14:paraId="04385D90" w14:textId="77777777" w:rsidR="008B3682" w:rsidRDefault="008B3682" w:rsidP="008B3682">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 </w:t>
            </w:r>
          </w:p>
          <w:p w14:paraId="016A19EF" w14:textId="77777777" w:rsidR="008B3682" w:rsidRPr="008B3682" w:rsidRDefault="008B3682" w:rsidP="008B3682">
            <w:pPr>
              <w:pStyle w:val="Lijstalinea"/>
              <w:spacing w:before="0" w:beforeAutospacing="0" w:after="0" w:afterAutospacing="0"/>
              <w:jc w:val="both"/>
              <w:rPr>
                <w:rFonts w:ascii="Calibri" w:hAnsi="Calibri"/>
                <w:color w:val="000000"/>
                <w:sz w:val="22"/>
                <w:szCs w:val="22"/>
              </w:rPr>
            </w:pPr>
            <w:r>
              <w:rPr>
                <w:rFonts w:ascii="Calibri" w:hAnsi="Calibri"/>
                <w:b/>
                <w:bCs/>
                <w:color w:val="000000"/>
                <w:sz w:val="22"/>
                <w:szCs w:val="22"/>
              </w:rPr>
              <w:t>Het ontworpen boek 6, dat 13 artikelen telde, werd middels amendement 542 vervangen door een volledig nieuw boek bestaande uit 128 artikelen. We hanteren uiteraard de nummering van het aangenomen WVV, maar vermelden naast de verantwoording bij het amendement in voorkomend geval ook de inhoudelijk overeenkomstige passage uit de ontwerpteksten en de memorie van toelichting.</w:t>
            </w:r>
          </w:p>
        </w:tc>
      </w:tr>
      <w:tr w:rsidR="005B33B1" w:rsidRPr="005E5B88" w14:paraId="0D4BB8D9" w14:textId="77777777" w:rsidTr="00E17723">
        <w:tc>
          <w:tcPr>
            <w:tcW w:w="1980" w:type="dxa"/>
          </w:tcPr>
          <w:p w14:paraId="46C55423" w14:textId="77777777" w:rsidR="005B33B1" w:rsidRPr="00B07AC9" w:rsidRDefault="005B33B1" w:rsidP="00601FB1">
            <w:pPr>
              <w:rPr>
                <w:b/>
                <w:sz w:val="32"/>
                <w:szCs w:val="32"/>
                <w:lang w:val="nl-BE"/>
              </w:rPr>
            </w:pPr>
          </w:p>
        </w:tc>
        <w:tc>
          <w:tcPr>
            <w:tcW w:w="11765" w:type="dxa"/>
            <w:gridSpan w:val="2"/>
            <w:shd w:val="clear" w:color="auto" w:fill="auto"/>
          </w:tcPr>
          <w:p w14:paraId="1B39A3C0" w14:textId="77777777" w:rsidR="005B33B1" w:rsidRPr="00382324" w:rsidRDefault="005B33B1" w:rsidP="00601FB1">
            <w:pPr>
              <w:rPr>
                <w:rFonts w:asciiTheme="majorHAnsi" w:eastAsiaTheme="majorEastAsia" w:hAnsiTheme="majorHAnsi" w:cstheme="majorBidi"/>
                <w:b/>
                <w:bCs/>
                <w:color w:val="2E74B5" w:themeColor="accent1" w:themeShade="BF"/>
                <w:sz w:val="32"/>
                <w:szCs w:val="28"/>
                <w:lang w:val="nl-BE"/>
              </w:rPr>
            </w:pPr>
          </w:p>
        </w:tc>
      </w:tr>
      <w:tr w:rsidR="00047A70" w:rsidRPr="00601FB1" w14:paraId="4934C0F1" w14:textId="77777777" w:rsidTr="00601FB1">
        <w:trPr>
          <w:trHeight w:val="803"/>
        </w:trPr>
        <w:tc>
          <w:tcPr>
            <w:tcW w:w="1980" w:type="dxa"/>
          </w:tcPr>
          <w:p w14:paraId="2CFF03DF" w14:textId="77777777" w:rsidR="00047A70" w:rsidRDefault="00047A70" w:rsidP="00601FB1">
            <w:pPr>
              <w:spacing w:after="0" w:line="240" w:lineRule="auto"/>
              <w:jc w:val="both"/>
              <w:rPr>
                <w:rFonts w:cs="Calibri"/>
                <w:lang w:val="nl-BE"/>
              </w:rPr>
            </w:pPr>
            <w:r>
              <w:rPr>
                <w:rFonts w:cs="Calibri"/>
                <w:lang w:val="nl-BE"/>
              </w:rPr>
              <w:t>WVV</w:t>
            </w:r>
          </w:p>
        </w:tc>
        <w:tc>
          <w:tcPr>
            <w:tcW w:w="5953" w:type="dxa"/>
            <w:shd w:val="clear" w:color="auto" w:fill="auto"/>
          </w:tcPr>
          <w:p w14:paraId="4E444DD7" w14:textId="796139AA" w:rsidR="00047A70" w:rsidRPr="004C414C" w:rsidRDefault="00C50331" w:rsidP="00601FB1">
            <w:pPr>
              <w:spacing w:after="0" w:line="240" w:lineRule="auto"/>
              <w:jc w:val="both"/>
              <w:rPr>
                <w:rFonts w:cstheme="minorHAnsi"/>
                <w:lang w:val="nl-BE"/>
              </w:rPr>
            </w:pPr>
            <w:hyperlink w:anchor="_Amendement_542" w:history="1">
              <w:r w:rsidR="00047A70" w:rsidRPr="00C50331">
                <w:rPr>
                  <w:rStyle w:val="Hyperlink"/>
                  <w:rFonts w:cstheme="minorHAnsi"/>
                  <w:lang w:val="nl-NL"/>
                </w:rPr>
                <w:t>De statuten kunnen het aantal stemmen waarover iedere aandeelhouder in de vergaderingen beschikt, beperken, op voorwaarde dat die beperking verplicht van toepassing is op iedere aandeelhouder zonder onderscheid van het effect waarmee hij aan de stemming deelneemt.</w:t>
              </w:r>
            </w:hyperlink>
          </w:p>
        </w:tc>
        <w:tc>
          <w:tcPr>
            <w:tcW w:w="5812" w:type="dxa"/>
            <w:shd w:val="clear" w:color="auto" w:fill="auto"/>
          </w:tcPr>
          <w:p w14:paraId="2D6B040D" w14:textId="6CB15CAC" w:rsidR="00047A70" w:rsidRPr="00C50331" w:rsidRDefault="00C50331" w:rsidP="00601FB1">
            <w:pPr>
              <w:spacing w:after="0" w:line="240" w:lineRule="auto"/>
              <w:jc w:val="both"/>
              <w:rPr>
                <w:rStyle w:val="Hyperlink"/>
                <w:rFonts w:cstheme="minorHAnsi"/>
                <w:lang w:val="fr-FR"/>
              </w:rPr>
            </w:pPr>
            <w:r>
              <w:rPr>
                <w:rFonts w:cstheme="minorHAnsi"/>
                <w:lang w:val="fr-BE"/>
              </w:rPr>
              <w:fldChar w:fldCharType="begin"/>
            </w:r>
            <w:r>
              <w:rPr>
                <w:rFonts w:cstheme="minorHAnsi"/>
                <w:lang w:val="fr-BE"/>
              </w:rPr>
              <w:instrText xml:space="preserve"> HYPERLINK  \l "_Amendement_542_1" </w:instrText>
            </w:r>
            <w:r>
              <w:rPr>
                <w:rFonts w:cstheme="minorHAnsi"/>
                <w:lang w:val="fr-BE"/>
              </w:rPr>
            </w:r>
            <w:r>
              <w:rPr>
                <w:rFonts w:cstheme="minorHAnsi"/>
                <w:lang w:val="fr-BE"/>
              </w:rPr>
              <w:fldChar w:fldCharType="separate"/>
            </w:r>
            <w:r w:rsidR="00047A70" w:rsidRPr="00C50331">
              <w:rPr>
                <w:rStyle w:val="Hyperlink"/>
                <w:rFonts w:cstheme="minorHAnsi"/>
                <w:lang w:val="fr-BE"/>
              </w:rPr>
              <w:t>Les statuts peuvent limiter le nombre de voix dont chaque actionnaire dispose dans les assemblées, à condition que cette limitation s'impose à tout actionnaire quels que soient les titres pour lesquels il prend part au vote.</w:t>
            </w:r>
          </w:p>
          <w:p w14:paraId="7D87437B" w14:textId="7436201C" w:rsidR="00047A70" w:rsidRPr="004C414C" w:rsidRDefault="00C50331" w:rsidP="00601FB1">
            <w:pPr>
              <w:spacing w:after="0" w:line="240" w:lineRule="auto"/>
              <w:jc w:val="both"/>
              <w:rPr>
                <w:rFonts w:cstheme="minorHAnsi"/>
                <w:lang w:val="fr-BE"/>
              </w:rPr>
            </w:pPr>
            <w:r>
              <w:rPr>
                <w:rFonts w:cstheme="minorHAnsi"/>
                <w:lang w:val="fr-BE"/>
              </w:rPr>
              <w:fldChar w:fldCharType="end"/>
            </w:r>
          </w:p>
        </w:tc>
      </w:tr>
      <w:tr w:rsidR="00CD26C8" w:rsidRPr="00601FB1" w14:paraId="31E42645" w14:textId="77777777" w:rsidTr="00CD26C8">
        <w:trPr>
          <w:trHeight w:val="381"/>
        </w:trPr>
        <w:tc>
          <w:tcPr>
            <w:tcW w:w="1980" w:type="dxa"/>
          </w:tcPr>
          <w:p w14:paraId="4665D259" w14:textId="084B281A" w:rsidR="00CD26C8" w:rsidRDefault="00CD26C8" w:rsidP="00601FB1">
            <w:pPr>
              <w:spacing w:after="0" w:line="240" w:lineRule="auto"/>
              <w:jc w:val="both"/>
              <w:rPr>
                <w:rFonts w:cs="Calibri"/>
                <w:lang w:val="nl-BE"/>
              </w:rPr>
            </w:pPr>
            <w:proofErr w:type="spellStart"/>
            <w:r w:rsidRPr="00170608">
              <w:t>Ontwerp</w:t>
            </w:r>
            <w:proofErr w:type="spellEnd"/>
          </w:p>
        </w:tc>
        <w:tc>
          <w:tcPr>
            <w:tcW w:w="5953" w:type="dxa"/>
            <w:shd w:val="clear" w:color="auto" w:fill="auto"/>
          </w:tcPr>
          <w:p w14:paraId="4B4381D0" w14:textId="464E12C2" w:rsidR="00CD26C8" w:rsidRPr="00D41C14" w:rsidRDefault="00CD26C8" w:rsidP="00601FB1">
            <w:pPr>
              <w:spacing w:after="0" w:line="240" w:lineRule="auto"/>
              <w:jc w:val="both"/>
              <w:rPr>
                <w:rFonts w:cstheme="minorHAnsi"/>
                <w:lang w:val="nl-NL"/>
              </w:rPr>
            </w:pPr>
            <w:proofErr w:type="spellStart"/>
            <w:r w:rsidRPr="00170608">
              <w:t>Geen</w:t>
            </w:r>
            <w:proofErr w:type="spellEnd"/>
            <w:r w:rsidRPr="00170608">
              <w:t xml:space="preserve"> </w:t>
            </w:r>
            <w:proofErr w:type="spellStart"/>
            <w:r w:rsidRPr="00170608">
              <w:t>artikel</w:t>
            </w:r>
            <w:proofErr w:type="spellEnd"/>
            <w:r>
              <w:t>.</w:t>
            </w:r>
          </w:p>
        </w:tc>
        <w:tc>
          <w:tcPr>
            <w:tcW w:w="5812" w:type="dxa"/>
            <w:shd w:val="clear" w:color="auto" w:fill="auto"/>
          </w:tcPr>
          <w:p w14:paraId="77D7EE76" w14:textId="3C3287D9" w:rsidR="00CD26C8" w:rsidRPr="00D41C14" w:rsidRDefault="00CD26C8" w:rsidP="00601FB1">
            <w:pPr>
              <w:spacing w:after="0" w:line="240" w:lineRule="auto"/>
              <w:jc w:val="both"/>
              <w:rPr>
                <w:rFonts w:cstheme="minorHAnsi"/>
                <w:lang w:val="fr-BE"/>
              </w:rPr>
            </w:pPr>
            <w:r>
              <w:t xml:space="preserve">Pas </w:t>
            </w:r>
            <w:proofErr w:type="spellStart"/>
            <w:r>
              <w:t>d’article</w:t>
            </w:r>
            <w:proofErr w:type="spellEnd"/>
            <w:r>
              <w:t>.</w:t>
            </w:r>
          </w:p>
        </w:tc>
      </w:tr>
      <w:tr w:rsidR="00CD26C8" w:rsidRPr="001F79F1" w14:paraId="63BCFBF2" w14:textId="77777777" w:rsidTr="00601FB1">
        <w:trPr>
          <w:trHeight w:val="439"/>
        </w:trPr>
        <w:tc>
          <w:tcPr>
            <w:tcW w:w="1980" w:type="dxa"/>
          </w:tcPr>
          <w:p w14:paraId="07DAAFC0" w14:textId="77777777" w:rsidR="00CD26C8" w:rsidRPr="001F79F1" w:rsidRDefault="00CD26C8" w:rsidP="00601FB1">
            <w:pPr>
              <w:spacing w:after="0" w:line="240" w:lineRule="auto"/>
              <w:jc w:val="both"/>
              <w:rPr>
                <w:rFonts w:cs="Calibri"/>
                <w:lang w:val="fr-FR"/>
              </w:rPr>
            </w:pPr>
            <w:proofErr w:type="spellStart"/>
            <w:r>
              <w:rPr>
                <w:rFonts w:cs="Calibri"/>
                <w:lang w:val="fr-FR"/>
              </w:rPr>
              <w:t>Voorontwerp</w:t>
            </w:r>
            <w:proofErr w:type="spellEnd"/>
          </w:p>
        </w:tc>
        <w:tc>
          <w:tcPr>
            <w:tcW w:w="5953" w:type="dxa"/>
            <w:shd w:val="clear" w:color="auto" w:fill="auto"/>
          </w:tcPr>
          <w:p w14:paraId="6B951630" w14:textId="77777777" w:rsidR="00CD26C8" w:rsidRPr="001F79F1" w:rsidRDefault="00CD26C8" w:rsidP="00601FB1">
            <w:pPr>
              <w:spacing w:after="0" w:line="240" w:lineRule="auto"/>
              <w:jc w:val="both"/>
              <w:rPr>
                <w:rFonts w:cstheme="minorHAnsi"/>
                <w:lang w:val="fr-FR"/>
              </w:rPr>
            </w:pPr>
            <w:proofErr w:type="spellStart"/>
            <w:r>
              <w:rPr>
                <w:rFonts w:cstheme="minorHAnsi"/>
                <w:lang w:val="fr-FR"/>
              </w:rPr>
              <w:t>Geen</w:t>
            </w:r>
            <w:proofErr w:type="spellEnd"/>
            <w:r>
              <w:rPr>
                <w:rFonts w:cstheme="minorHAnsi"/>
                <w:lang w:val="fr-FR"/>
              </w:rPr>
              <w:t xml:space="preserve"> </w:t>
            </w:r>
            <w:proofErr w:type="spellStart"/>
            <w:r>
              <w:rPr>
                <w:rFonts w:cstheme="minorHAnsi"/>
                <w:lang w:val="fr-FR"/>
              </w:rPr>
              <w:t>artikel</w:t>
            </w:r>
            <w:proofErr w:type="spellEnd"/>
            <w:r>
              <w:rPr>
                <w:rFonts w:cstheme="minorHAnsi"/>
                <w:lang w:val="fr-FR"/>
              </w:rPr>
              <w:t>.</w:t>
            </w:r>
          </w:p>
        </w:tc>
        <w:tc>
          <w:tcPr>
            <w:tcW w:w="5812" w:type="dxa"/>
            <w:shd w:val="clear" w:color="auto" w:fill="auto"/>
          </w:tcPr>
          <w:p w14:paraId="51812D8B" w14:textId="77777777" w:rsidR="00CD26C8" w:rsidRPr="00D41C14" w:rsidRDefault="00CD26C8" w:rsidP="00601FB1">
            <w:pPr>
              <w:spacing w:after="0" w:line="240" w:lineRule="auto"/>
              <w:jc w:val="both"/>
              <w:rPr>
                <w:rFonts w:cstheme="minorHAnsi"/>
                <w:lang w:val="fr-BE"/>
              </w:rPr>
            </w:pPr>
            <w:r>
              <w:rPr>
                <w:rFonts w:cstheme="minorHAnsi"/>
                <w:lang w:val="fr-BE"/>
              </w:rPr>
              <w:t>Pas d’article.</w:t>
            </w:r>
          </w:p>
        </w:tc>
      </w:tr>
      <w:tr w:rsidR="00CD26C8" w:rsidRPr="001F79F1" w14:paraId="25DA803E" w14:textId="77777777" w:rsidTr="00601FB1">
        <w:trPr>
          <w:trHeight w:val="423"/>
        </w:trPr>
        <w:tc>
          <w:tcPr>
            <w:tcW w:w="1980" w:type="dxa"/>
          </w:tcPr>
          <w:p w14:paraId="5A7B2DD7" w14:textId="77777777" w:rsidR="00CD26C8" w:rsidRPr="00170608" w:rsidRDefault="00CD26C8" w:rsidP="00601FB1">
            <w:pPr>
              <w:spacing w:after="0"/>
            </w:pPr>
            <w:proofErr w:type="spellStart"/>
            <w:r>
              <w:t>MvT</w:t>
            </w:r>
            <w:proofErr w:type="spellEnd"/>
          </w:p>
        </w:tc>
        <w:tc>
          <w:tcPr>
            <w:tcW w:w="5953" w:type="dxa"/>
            <w:shd w:val="clear" w:color="auto" w:fill="auto"/>
          </w:tcPr>
          <w:p w14:paraId="429A882B" w14:textId="77777777" w:rsidR="00CD26C8" w:rsidRPr="00B566A5" w:rsidRDefault="00CD26C8" w:rsidP="00601FB1">
            <w:pPr>
              <w:spacing w:after="0"/>
            </w:pPr>
            <w:proofErr w:type="spellStart"/>
            <w:r w:rsidRPr="00B566A5">
              <w:t>Geen</w:t>
            </w:r>
            <w:proofErr w:type="spellEnd"/>
            <w:r w:rsidRPr="00B566A5">
              <w:t xml:space="preserve"> </w:t>
            </w:r>
            <w:proofErr w:type="spellStart"/>
            <w:r w:rsidRPr="00B566A5">
              <w:t>opmerkingen</w:t>
            </w:r>
            <w:proofErr w:type="spellEnd"/>
            <w:r>
              <w:t>.</w:t>
            </w:r>
          </w:p>
        </w:tc>
        <w:tc>
          <w:tcPr>
            <w:tcW w:w="5812" w:type="dxa"/>
            <w:shd w:val="clear" w:color="auto" w:fill="auto"/>
          </w:tcPr>
          <w:p w14:paraId="3D66A526" w14:textId="77777777" w:rsidR="00CD26C8" w:rsidRDefault="00CD26C8" w:rsidP="00601FB1">
            <w:pPr>
              <w:spacing w:after="0"/>
            </w:pPr>
            <w:r w:rsidRPr="00B566A5">
              <w:t xml:space="preserve">Pas de </w:t>
            </w:r>
            <w:proofErr w:type="spellStart"/>
            <w:r w:rsidRPr="00B566A5">
              <w:t>remarques</w:t>
            </w:r>
            <w:proofErr w:type="spellEnd"/>
            <w:r>
              <w:t>.</w:t>
            </w:r>
          </w:p>
        </w:tc>
      </w:tr>
      <w:tr w:rsidR="00CD26C8" w:rsidRPr="001F79F1" w14:paraId="0D22D61F" w14:textId="77777777" w:rsidTr="00601FB1">
        <w:trPr>
          <w:trHeight w:val="415"/>
        </w:trPr>
        <w:tc>
          <w:tcPr>
            <w:tcW w:w="1980" w:type="dxa"/>
          </w:tcPr>
          <w:p w14:paraId="4A769168" w14:textId="77777777" w:rsidR="00CD26C8" w:rsidRPr="00170608" w:rsidRDefault="00CD26C8" w:rsidP="00601FB1">
            <w:pPr>
              <w:spacing w:after="0"/>
            </w:pPr>
            <w:proofErr w:type="spellStart"/>
            <w:r>
              <w:t>RvSt</w:t>
            </w:r>
            <w:proofErr w:type="spellEnd"/>
          </w:p>
        </w:tc>
        <w:tc>
          <w:tcPr>
            <w:tcW w:w="5953" w:type="dxa"/>
            <w:shd w:val="clear" w:color="auto" w:fill="auto"/>
          </w:tcPr>
          <w:p w14:paraId="41B5162D" w14:textId="77777777" w:rsidR="00CD26C8" w:rsidRPr="00B566A5" w:rsidRDefault="00CD26C8" w:rsidP="00601FB1">
            <w:pPr>
              <w:spacing w:after="0"/>
            </w:pPr>
            <w:proofErr w:type="spellStart"/>
            <w:r w:rsidRPr="00B566A5">
              <w:t>Geen</w:t>
            </w:r>
            <w:proofErr w:type="spellEnd"/>
            <w:r w:rsidRPr="00B566A5">
              <w:t xml:space="preserve"> </w:t>
            </w:r>
            <w:proofErr w:type="spellStart"/>
            <w:r w:rsidRPr="00B566A5">
              <w:t>opmerkingen</w:t>
            </w:r>
            <w:proofErr w:type="spellEnd"/>
            <w:r>
              <w:t>.</w:t>
            </w:r>
          </w:p>
        </w:tc>
        <w:tc>
          <w:tcPr>
            <w:tcW w:w="5812" w:type="dxa"/>
            <w:shd w:val="clear" w:color="auto" w:fill="auto"/>
          </w:tcPr>
          <w:p w14:paraId="5B209C8E" w14:textId="77777777" w:rsidR="00CD26C8" w:rsidRDefault="00CD26C8" w:rsidP="00601FB1">
            <w:pPr>
              <w:spacing w:after="0"/>
            </w:pPr>
            <w:r w:rsidRPr="00B566A5">
              <w:t xml:space="preserve">Pas de </w:t>
            </w:r>
            <w:proofErr w:type="spellStart"/>
            <w:r w:rsidRPr="00B566A5">
              <w:t>remarques</w:t>
            </w:r>
            <w:proofErr w:type="spellEnd"/>
            <w:r>
              <w:t>.</w:t>
            </w:r>
          </w:p>
        </w:tc>
      </w:tr>
      <w:tr w:rsidR="005E5B88" w:rsidRPr="001F79F1" w14:paraId="75B1AFAF" w14:textId="77777777" w:rsidTr="00601FB1">
        <w:trPr>
          <w:trHeight w:val="415"/>
        </w:trPr>
        <w:tc>
          <w:tcPr>
            <w:tcW w:w="1980" w:type="dxa"/>
          </w:tcPr>
          <w:p w14:paraId="1DA4518E" w14:textId="3CADC728" w:rsidR="005E5B88" w:rsidRDefault="005E5B88" w:rsidP="00C50331">
            <w:pPr>
              <w:pStyle w:val="Kop1"/>
            </w:pPr>
            <w:bookmarkStart w:id="0" w:name="_Amendement_542"/>
            <w:bookmarkStart w:id="1" w:name="_Amendement_542_1"/>
            <w:bookmarkEnd w:id="0"/>
            <w:bookmarkEnd w:id="1"/>
            <w:proofErr w:type="spellStart"/>
            <w:r>
              <w:t>Amendement</w:t>
            </w:r>
            <w:proofErr w:type="spellEnd"/>
            <w:r>
              <w:t xml:space="preserve"> 542</w:t>
            </w:r>
          </w:p>
        </w:tc>
        <w:tc>
          <w:tcPr>
            <w:tcW w:w="5953" w:type="dxa"/>
            <w:shd w:val="clear" w:color="auto" w:fill="auto"/>
          </w:tcPr>
          <w:p w14:paraId="43D96943" w14:textId="4BF8D2BD" w:rsidR="005E5B88" w:rsidRPr="00C65040" w:rsidRDefault="00C65040" w:rsidP="00C65040">
            <w:pPr>
              <w:spacing w:after="0"/>
              <w:jc w:val="both"/>
              <w:rPr>
                <w:lang w:val="nl-NL"/>
              </w:rPr>
            </w:pPr>
            <w:r w:rsidRPr="00C65040">
              <w:rPr>
                <w:lang w:val="nl-NL"/>
              </w:rPr>
              <w:t xml:space="preserve">De tekst is die van artikel 5:45. In een </w:t>
            </w:r>
            <w:proofErr w:type="gramStart"/>
            <w:r w:rsidRPr="00C65040">
              <w:rPr>
                <w:lang w:val="nl-NL"/>
              </w:rPr>
              <w:t>CV</w:t>
            </w:r>
            <w:proofErr w:type="gramEnd"/>
            <w:r w:rsidRPr="00C65040">
              <w:rPr>
                <w:lang w:val="nl-NL"/>
              </w:rPr>
              <w:t xml:space="preserve"> is het evenwel denkbaar dat bepaalde bijzondere rechten worden gekoppeld aan de hoedanigheid van een aandeelhouder</w:t>
            </w:r>
            <w:bookmarkStart w:id="2" w:name="_GoBack"/>
            <w:bookmarkEnd w:id="2"/>
            <w:r w:rsidRPr="00C65040">
              <w:rPr>
                <w:lang w:val="nl-NL"/>
              </w:rPr>
              <w:t xml:space="preserve">, los van de rechten verbonden aan de aandelen, zoals bv. een oprichter, of een investeerder. De tekst bevestigt deze mogelijkheid. </w:t>
            </w:r>
          </w:p>
        </w:tc>
        <w:tc>
          <w:tcPr>
            <w:tcW w:w="5812" w:type="dxa"/>
            <w:shd w:val="clear" w:color="auto" w:fill="auto"/>
          </w:tcPr>
          <w:p w14:paraId="06A7FD6B" w14:textId="4CEE9920" w:rsidR="005E5B88" w:rsidRPr="00EC6652" w:rsidRDefault="00EC6652" w:rsidP="00EC6652">
            <w:pPr>
              <w:spacing w:after="0"/>
              <w:jc w:val="both"/>
              <w:rPr>
                <w:lang w:val="fr-FR"/>
              </w:rPr>
            </w:pPr>
            <w:r w:rsidRPr="00EC6652">
              <w:rPr>
                <w:lang w:val="fr-FR"/>
              </w:rPr>
              <w:t xml:space="preserve">Le texte est celui de l’article </w:t>
            </w:r>
            <w:proofErr w:type="gramStart"/>
            <w:r w:rsidRPr="00EC6652">
              <w:rPr>
                <w:lang w:val="fr-FR"/>
              </w:rPr>
              <w:t>5:</w:t>
            </w:r>
            <w:proofErr w:type="gramEnd"/>
            <w:r w:rsidRPr="00EC6652">
              <w:rPr>
                <w:lang w:val="fr-FR"/>
              </w:rPr>
              <w:t xml:space="preserve">45. Dans une SC il est toutefois admissible que certains droits soient attribués à la qualité d’un actionnaire, tel que, </w:t>
            </w:r>
            <w:proofErr w:type="spellStart"/>
            <w:r w:rsidRPr="00EC6652">
              <w:rPr>
                <w:lang w:val="fr-FR"/>
              </w:rPr>
              <w:t>p.e</w:t>
            </w:r>
            <w:proofErr w:type="spellEnd"/>
            <w:r w:rsidRPr="00EC6652">
              <w:rPr>
                <w:lang w:val="fr-FR"/>
              </w:rPr>
              <w:t xml:space="preserve">. un fondateur ou un investisseur. Le texte confirme cette possibilité. </w:t>
            </w:r>
          </w:p>
        </w:tc>
      </w:tr>
    </w:tbl>
    <w:p w14:paraId="0C7D1145" w14:textId="77777777" w:rsidR="000D42B6" w:rsidRPr="00200CB2" w:rsidRDefault="000D42B6" w:rsidP="002E2C50">
      <w:pPr>
        <w:rPr>
          <w:lang w:val="fr-FR"/>
        </w:rPr>
      </w:pPr>
    </w:p>
    <w:sectPr w:rsidR="000D42B6" w:rsidRPr="00200CB2"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7C7DB" w14:textId="77777777" w:rsidR="001A2728" w:rsidRDefault="001A2728" w:rsidP="000D42B6">
      <w:pPr>
        <w:spacing w:after="0" w:line="240" w:lineRule="auto"/>
      </w:pPr>
      <w:r>
        <w:separator/>
      </w:r>
    </w:p>
  </w:endnote>
  <w:endnote w:type="continuationSeparator" w:id="0">
    <w:p w14:paraId="49044A00" w14:textId="77777777" w:rsidR="001A2728" w:rsidRDefault="001A2728"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49393" w14:textId="77777777" w:rsidR="001A2728" w:rsidRDefault="001A2728" w:rsidP="000D42B6">
      <w:pPr>
        <w:spacing w:after="0" w:line="240" w:lineRule="auto"/>
      </w:pPr>
      <w:r>
        <w:separator/>
      </w:r>
    </w:p>
  </w:footnote>
  <w:footnote w:type="continuationSeparator" w:id="0">
    <w:p w14:paraId="66616241" w14:textId="77777777" w:rsidR="001A2728" w:rsidRDefault="001A2728" w:rsidP="000D42B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2F826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5E"/>
    <w:rsid w:val="00010452"/>
    <w:rsid w:val="00034AA1"/>
    <w:rsid w:val="00045500"/>
    <w:rsid w:val="00047A70"/>
    <w:rsid w:val="00053660"/>
    <w:rsid w:val="0006172F"/>
    <w:rsid w:val="000B434D"/>
    <w:rsid w:val="000D42B6"/>
    <w:rsid w:val="00151909"/>
    <w:rsid w:val="00153A4F"/>
    <w:rsid w:val="001777AA"/>
    <w:rsid w:val="001A0A02"/>
    <w:rsid w:val="001A2728"/>
    <w:rsid w:val="001C4D4C"/>
    <w:rsid w:val="001F79F1"/>
    <w:rsid w:val="00200CB2"/>
    <w:rsid w:val="00202051"/>
    <w:rsid w:val="00266AFF"/>
    <w:rsid w:val="00280E02"/>
    <w:rsid w:val="002E2C50"/>
    <w:rsid w:val="00311F1A"/>
    <w:rsid w:val="00393BDA"/>
    <w:rsid w:val="003B05A2"/>
    <w:rsid w:val="003D46FE"/>
    <w:rsid w:val="003D55CF"/>
    <w:rsid w:val="00417C7D"/>
    <w:rsid w:val="00427696"/>
    <w:rsid w:val="00475FC8"/>
    <w:rsid w:val="00503582"/>
    <w:rsid w:val="00512C24"/>
    <w:rsid w:val="005407B7"/>
    <w:rsid w:val="00552278"/>
    <w:rsid w:val="0057031D"/>
    <w:rsid w:val="005974AD"/>
    <w:rsid w:val="005A0621"/>
    <w:rsid w:val="005B33B1"/>
    <w:rsid w:val="005E5B88"/>
    <w:rsid w:val="00601FB1"/>
    <w:rsid w:val="006170A4"/>
    <w:rsid w:val="00642F57"/>
    <w:rsid w:val="007061E6"/>
    <w:rsid w:val="00723E95"/>
    <w:rsid w:val="007A6A5E"/>
    <w:rsid w:val="007B29A3"/>
    <w:rsid w:val="00871559"/>
    <w:rsid w:val="008849AC"/>
    <w:rsid w:val="008A299A"/>
    <w:rsid w:val="008A3ED0"/>
    <w:rsid w:val="008B3682"/>
    <w:rsid w:val="008D169B"/>
    <w:rsid w:val="00950DFB"/>
    <w:rsid w:val="009662AF"/>
    <w:rsid w:val="00985EF6"/>
    <w:rsid w:val="0099503B"/>
    <w:rsid w:val="009D1831"/>
    <w:rsid w:val="00A41BE3"/>
    <w:rsid w:val="00A46D88"/>
    <w:rsid w:val="00A97687"/>
    <w:rsid w:val="00B0539A"/>
    <w:rsid w:val="00B2219C"/>
    <w:rsid w:val="00B2273C"/>
    <w:rsid w:val="00B53841"/>
    <w:rsid w:val="00BB0F3C"/>
    <w:rsid w:val="00C418AD"/>
    <w:rsid w:val="00C43011"/>
    <w:rsid w:val="00C50331"/>
    <w:rsid w:val="00C65040"/>
    <w:rsid w:val="00CD26C8"/>
    <w:rsid w:val="00CE1421"/>
    <w:rsid w:val="00D61286"/>
    <w:rsid w:val="00D9012C"/>
    <w:rsid w:val="00DC54F2"/>
    <w:rsid w:val="00E17723"/>
    <w:rsid w:val="00E8314B"/>
    <w:rsid w:val="00EC6652"/>
    <w:rsid w:val="00EC7E26"/>
    <w:rsid w:val="00FA09D7"/>
    <w:rsid w:val="00FC1AA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B719"/>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Teken"/>
    <w:uiPriority w:val="9"/>
    <w:qFormat/>
    <w:rsid w:val="00C50331"/>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
    <w:uiPriority w:val="99"/>
    <w:semiHidden/>
    <w:unhideWhenUsed/>
    <w:rsid w:val="007A6A5E"/>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Teken"/>
    <w:uiPriority w:val="99"/>
    <w:unhideWhenUsed/>
    <w:rsid w:val="000D42B6"/>
    <w:pPr>
      <w:tabs>
        <w:tab w:val="center" w:pos="4680"/>
        <w:tab w:val="right" w:pos="9360"/>
      </w:tabs>
      <w:spacing w:after="0" w:line="240" w:lineRule="auto"/>
    </w:pPr>
  </w:style>
  <w:style w:type="character" w:customStyle="1" w:styleId="KoptekstTeken">
    <w:name w:val="Koptekst Teken"/>
    <w:basedOn w:val="Standaardalinea-lettertype"/>
    <w:link w:val="Koptekst"/>
    <w:uiPriority w:val="99"/>
    <w:rsid w:val="000D42B6"/>
    <w:rPr>
      <w:lang w:val="en-GB"/>
    </w:rPr>
  </w:style>
  <w:style w:type="paragraph" w:styleId="Voettekst">
    <w:name w:val="footer"/>
    <w:basedOn w:val="Standaard"/>
    <w:link w:val="VoettekstTeken"/>
    <w:uiPriority w:val="99"/>
    <w:unhideWhenUsed/>
    <w:rsid w:val="000D42B6"/>
    <w:pPr>
      <w:tabs>
        <w:tab w:val="center" w:pos="4680"/>
        <w:tab w:val="right" w:pos="9360"/>
      </w:tabs>
      <w:spacing w:after="0" w:line="240" w:lineRule="auto"/>
    </w:pPr>
  </w:style>
  <w:style w:type="character" w:customStyle="1" w:styleId="VoettekstTeken">
    <w:name w:val="Voettekst Teken"/>
    <w:basedOn w:val="Standaardalinea-lettertype"/>
    <w:link w:val="Voettekst"/>
    <w:uiPriority w:val="99"/>
    <w:rsid w:val="000D42B6"/>
    <w:rPr>
      <w:lang w:val="en-GB"/>
    </w:rPr>
  </w:style>
  <w:style w:type="paragraph" w:styleId="Geenafstand">
    <w:name w:val="No Spacing"/>
    <w:uiPriority w:val="1"/>
    <w:qFormat/>
    <w:rsid w:val="005974AD"/>
    <w:pPr>
      <w:spacing w:after="0" w:line="240" w:lineRule="auto"/>
    </w:pPr>
    <w:rPr>
      <w:lang w:val="nl-BE"/>
    </w:rPr>
  </w:style>
  <w:style w:type="character" w:customStyle="1" w:styleId="cursief">
    <w:name w:val="cursief"/>
    <w:uiPriority w:val="99"/>
    <w:rsid w:val="002E2C50"/>
    <w:rPr>
      <w:i/>
      <w:iCs/>
      <w:vertAlign w:val="baseline"/>
    </w:rPr>
  </w:style>
  <w:style w:type="paragraph" w:styleId="Lijstalinea">
    <w:name w:val="List Paragraph"/>
    <w:basedOn w:val="Standaard"/>
    <w:uiPriority w:val="34"/>
    <w:qFormat/>
    <w:rsid w:val="008B3682"/>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Kop1Teken">
    <w:name w:val="Kop 1 Teken"/>
    <w:basedOn w:val="Standaardalinea-lettertype"/>
    <w:link w:val="Kop1"/>
    <w:uiPriority w:val="9"/>
    <w:rsid w:val="00C50331"/>
    <w:rPr>
      <w:rFonts w:eastAsiaTheme="majorEastAsia" w:cstheme="majorBidi"/>
      <w:color w:val="000000" w:themeColor="text1"/>
      <w:szCs w:val="32"/>
      <w:lang w:val="en-GB"/>
    </w:rPr>
  </w:style>
  <w:style w:type="character" w:styleId="Hyperlink">
    <w:name w:val="Hyperlink"/>
    <w:basedOn w:val="Standaardalinea-lettertype"/>
    <w:uiPriority w:val="99"/>
    <w:unhideWhenUsed/>
    <w:rsid w:val="00C503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6C2EB-81EE-6C42-88BF-39119B7C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1433</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Microsoft Office-gebruiker</cp:lastModifiedBy>
  <cp:revision>60</cp:revision>
  <dcterms:created xsi:type="dcterms:W3CDTF">2019-10-18T10:25:00Z</dcterms:created>
  <dcterms:modified xsi:type="dcterms:W3CDTF">2021-10-05T18:38:00Z</dcterms:modified>
</cp:coreProperties>
</file>