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953"/>
        <w:gridCol w:w="5812"/>
      </w:tblGrid>
      <w:tr w:rsidR="000D42B6" w:rsidRPr="002A763A" w14:paraId="2EC93D0E" w14:textId="77777777" w:rsidTr="00E17723">
        <w:tc>
          <w:tcPr>
            <w:tcW w:w="1980" w:type="dxa"/>
          </w:tcPr>
          <w:p w14:paraId="3292F7AC" w14:textId="77777777" w:rsidR="000D42B6" w:rsidRPr="00B07AC9" w:rsidRDefault="000D42B6" w:rsidP="00BB02A5">
            <w:pPr>
              <w:rPr>
                <w:b/>
                <w:sz w:val="32"/>
                <w:szCs w:val="32"/>
                <w:lang w:val="nl-BE"/>
              </w:rPr>
            </w:pPr>
            <w:r w:rsidRPr="00B07AC9">
              <w:rPr>
                <w:b/>
                <w:sz w:val="32"/>
                <w:szCs w:val="32"/>
                <w:lang w:val="nl-BE"/>
              </w:rPr>
              <w:t xml:space="preserve">ARTIKEL </w:t>
            </w:r>
            <w:r w:rsidR="0052140A">
              <w:rPr>
                <w:b/>
                <w:sz w:val="32"/>
                <w:szCs w:val="32"/>
                <w:lang w:val="nl-BE"/>
              </w:rPr>
              <w:t>6:64</w:t>
            </w:r>
          </w:p>
        </w:tc>
        <w:tc>
          <w:tcPr>
            <w:tcW w:w="11765" w:type="dxa"/>
            <w:gridSpan w:val="2"/>
            <w:shd w:val="clear" w:color="auto" w:fill="auto"/>
          </w:tcPr>
          <w:p w14:paraId="4B3441B3" w14:textId="77777777" w:rsidR="000D42B6" w:rsidRPr="00382324" w:rsidRDefault="000D42B6" w:rsidP="00BB02A5">
            <w:pPr>
              <w:rPr>
                <w:rFonts w:asciiTheme="majorHAnsi" w:eastAsiaTheme="majorEastAsia" w:hAnsiTheme="majorHAnsi" w:cstheme="majorBidi"/>
                <w:b/>
                <w:bCs/>
                <w:color w:val="2E74B5" w:themeColor="accent1" w:themeShade="BF"/>
                <w:sz w:val="32"/>
                <w:szCs w:val="28"/>
                <w:lang w:val="nl-BE"/>
              </w:rPr>
            </w:pPr>
          </w:p>
        </w:tc>
      </w:tr>
      <w:tr w:rsidR="00902031" w:rsidRPr="00521DC3" w14:paraId="5CB7D2A8" w14:textId="77777777" w:rsidTr="001D7906">
        <w:tc>
          <w:tcPr>
            <w:tcW w:w="13745" w:type="dxa"/>
            <w:gridSpan w:val="3"/>
          </w:tcPr>
          <w:p w14:paraId="7938116F" w14:textId="77777777" w:rsidR="00902031" w:rsidRDefault="00902031" w:rsidP="0090203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7701B6DF" w14:textId="77777777" w:rsidR="00902031" w:rsidRDefault="00902031" w:rsidP="0090203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17D18A6A" w14:textId="77777777" w:rsidR="00902031" w:rsidRPr="00902031" w:rsidRDefault="00902031" w:rsidP="00902031">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521DC3" w14:paraId="38543BB5" w14:textId="77777777" w:rsidTr="00E17723">
        <w:tc>
          <w:tcPr>
            <w:tcW w:w="1980" w:type="dxa"/>
          </w:tcPr>
          <w:p w14:paraId="1319622F" w14:textId="77777777" w:rsidR="005B33B1" w:rsidRPr="00B07AC9" w:rsidRDefault="005B33B1" w:rsidP="00BB02A5">
            <w:pPr>
              <w:rPr>
                <w:b/>
                <w:sz w:val="32"/>
                <w:szCs w:val="32"/>
                <w:lang w:val="nl-BE"/>
              </w:rPr>
            </w:pPr>
          </w:p>
        </w:tc>
        <w:tc>
          <w:tcPr>
            <w:tcW w:w="11765" w:type="dxa"/>
            <w:gridSpan w:val="2"/>
            <w:shd w:val="clear" w:color="auto" w:fill="auto"/>
          </w:tcPr>
          <w:p w14:paraId="4FD84ECF" w14:textId="77777777" w:rsidR="005B33B1" w:rsidRPr="00382324" w:rsidRDefault="005B33B1" w:rsidP="00BB02A5">
            <w:pPr>
              <w:rPr>
                <w:rFonts w:asciiTheme="majorHAnsi" w:eastAsiaTheme="majorEastAsia" w:hAnsiTheme="majorHAnsi" w:cstheme="majorBidi"/>
                <w:b/>
                <w:bCs/>
                <w:color w:val="2E74B5" w:themeColor="accent1" w:themeShade="BF"/>
                <w:sz w:val="32"/>
                <w:szCs w:val="28"/>
                <w:lang w:val="nl-BE"/>
              </w:rPr>
            </w:pPr>
          </w:p>
        </w:tc>
      </w:tr>
      <w:tr w:rsidR="0052140A" w:rsidRPr="00521DC3" w14:paraId="6F3B3056" w14:textId="77777777" w:rsidTr="008947A3">
        <w:trPr>
          <w:trHeight w:val="803"/>
        </w:trPr>
        <w:tc>
          <w:tcPr>
            <w:tcW w:w="1980" w:type="dxa"/>
          </w:tcPr>
          <w:p w14:paraId="128366CC" w14:textId="77777777" w:rsidR="0052140A" w:rsidRDefault="0052140A" w:rsidP="00BB02A5">
            <w:pPr>
              <w:spacing w:after="0" w:line="240" w:lineRule="auto"/>
              <w:jc w:val="both"/>
              <w:rPr>
                <w:rFonts w:cs="Calibri"/>
                <w:lang w:val="nl-BE"/>
              </w:rPr>
            </w:pPr>
            <w:r>
              <w:rPr>
                <w:rFonts w:cs="Calibri"/>
                <w:lang w:val="nl-BE"/>
              </w:rPr>
              <w:t>WVV</w:t>
            </w:r>
          </w:p>
        </w:tc>
        <w:tc>
          <w:tcPr>
            <w:tcW w:w="5953" w:type="dxa"/>
            <w:shd w:val="clear" w:color="auto" w:fill="auto"/>
          </w:tcPr>
          <w:p w14:paraId="560B63FE" w14:textId="5EB04EE7" w:rsidR="0052140A" w:rsidRPr="00D0255B" w:rsidRDefault="00D0255B" w:rsidP="00BB02A5">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52140A" w:rsidRPr="00D0255B">
              <w:rPr>
                <w:rStyle w:val="Hyperlink"/>
                <w:rFonts w:cstheme="minorHAnsi"/>
                <w:lang w:val="nl-NL"/>
              </w:rPr>
              <w:t>§ 1. Wanneer het bestuursorgaan een beslissing moet nemen of zich over een verrichting moet uitspreken die onder zijn bevoegdheid vallen, waarbij een bestuurder een rechtstreeks of onrechtstreeks belang van vermogensrechtelijke aard heeft dat strijdig is met het belang van de vennootschap, en er zijn meerdere bestuurders die elk individueel bevoegd zijn om de vennootschap te besturen en te vertegenwoordigen, moet de betrokken bestuurder dit mededelen aan de andere bestuurders. Zijn verklaring en toelichting over de aard van dit strijdig belang worden opgenomen in de notulen van een vergadering van die andere bestuurders. Die andere bestuurders nemen de beslissing of voeren de verrichting uit. In dat geval mag de bestuurder met het belangenconflict niet deelnemen aan de beraadslagingen van de andere bestuurders over deze beslissingen of verrichtingen.</w:t>
            </w:r>
          </w:p>
          <w:p w14:paraId="0E07F6D8" w14:textId="77777777" w:rsidR="0052140A" w:rsidRPr="00D0255B" w:rsidRDefault="0052140A" w:rsidP="00BB02A5">
            <w:pPr>
              <w:tabs>
                <w:tab w:val="left" w:pos="1170"/>
              </w:tabs>
              <w:spacing w:after="0" w:line="240" w:lineRule="auto"/>
              <w:jc w:val="both"/>
              <w:rPr>
                <w:rStyle w:val="Hyperlink"/>
                <w:rFonts w:cstheme="minorHAnsi"/>
                <w:lang w:val="nl-NL"/>
              </w:rPr>
            </w:pPr>
          </w:p>
          <w:p w14:paraId="629581B3" w14:textId="77777777" w:rsidR="0052140A" w:rsidRPr="00D0255B" w:rsidRDefault="0052140A" w:rsidP="00BB02A5">
            <w:pPr>
              <w:tabs>
                <w:tab w:val="left" w:pos="1170"/>
              </w:tabs>
              <w:spacing w:after="0" w:line="240" w:lineRule="auto"/>
              <w:jc w:val="both"/>
              <w:rPr>
                <w:rStyle w:val="Hyperlink"/>
                <w:rFonts w:cstheme="minorHAnsi"/>
                <w:lang w:val="nl-BE"/>
              </w:rPr>
            </w:pPr>
            <w:r w:rsidRPr="00D0255B">
              <w:rPr>
                <w:rStyle w:val="Hyperlink"/>
                <w:rFonts w:cstheme="minorHAnsi"/>
                <w:lang w:val="nl-NL"/>
              </w:rPr>
              <w:t>Wanneer alle bestuurders een belangenconflict hebben, wordt de beslissing of de verrichting aan de algemene vergadering voorgelegd; indien de algemene vergadering de beslissing of de verrichting goedkeurt, kan het bestuursorgaan ze uitvoeren.</w:t>
            </w:r>
          </w:p>
          <w:p w14:paraId="1C9DA9F0" w14:textId="77777777" w:rsidR="0052140A" w:rsidRPr="00D0255B" w:rsidRDefault="0052140A" w:rsidP="00BB02A5">
            <w:pPr>
              <w:tabs>
                <w:tab w:val="left" w:pos="1170"/>
              </w:tabs>
              <w:spacing w:after="0" w:line="240" w:lineRule="auto"/>
              <w:jc w:val="both"/>
              <w:rPr>
                <w:rStyle w:val="Hyperlink"/>
                <w:rFonts w:cstheme="minorHAnsi"/>
                <w:lang w:val="nl-BE"/>
              </w:rPr>
            </w:pPr>
          </w:p>
          <w:p w14:paraId="678D23F7" w14:textId="77777777" w:rsidR="0052140A" w:rsidRPr="00D0255B" w:rsidRDefault="0052140A" w:rsidP="00BB02A5">
            <w:pPr>
              <w:tabs>
                <w:tab w:val="left" w:pos="1170"/>
              </w:tabs>
              <w:spacing w:after="0" w:line="240" w:lineRule="auto"/>
              <w:jc w:val="both"/>
              <w:rPr>
                <w:rStyle w:val="Hyperlink"/>
                <w:rFonts w:cstheme="minorHAnsi"/>
                <w:lang w:val="nl-NL"/>
              </w:rPr>
            </w:pPr>
            <w:r w:rsidRPr="00D0255B">
              <w:rPr>
                <w:rStyle w:val="Hyperlink"/>
                <w:rFonts w:cstheme="minorHAnsi"/>
                <w:lang w:val="nl-NL"/>
              </w:rPr>
              <w:t xml:space="preserve">§ 2. Als de statuten bepalen dat het bestuursorgaan een collegiaal orgaan is, dan wordt de beslissing genomen of de verrichting uitgevoerd door het bestuursorgaan, waarbij de </w:t>
            </w:r>
            <w:r w:rsidRPr="00D0255B">
              <w:rPr>
                <w:rStyle w:val="Hyperlink"/>
                <w:rFonts w:cstheme="minorHAnsi"/>
                <w:lang w:val="nl-NL"/>
              </w:rPr>
              <w:lastRenderedPageBreak/>
              <w:t>bestuurder met het belangenconflict niet mag deelnemen aan de beraadslagingen van het bestuursorgaan over deze beslissing of verrichting, noch aan de stemming in dat verband. Wanneer alle bestuurders van een collegiaal bestuursorgaan een belangenconflict hebben, wordt de beslissing of de verrichting aan de algemene vergadering voorgelegd; indien de algemene vergadering de beslissing of de verrichting goedkeurt, kan het bestuursorgaan ze uitvoeren.</w:t>
            </w:r>
          </w:p>
          <w:p w14:paraId="2CA9BB62" w14:textId="77777777" w:rsidR="0052140A" w:rsidRPr="00D0255B" w:rsidRDefault="0052140A" w:rsidP="00BB02A5">
            <w:pPr>
              <w:tabs>
                <w:tab w:val="left" w:pos="1170"/>
              </w:tabs>
              <w:spacing w:after="0" w:line="240" w:lineRule="auto"/>
              <w:jc w:val="both"/>
              <w:rPr>
                <w:rStyle w:val="Hyperlink"/>
                <w:rFonts w:cstheme="minorHAnsi"/>
                <w:lang w:val="nl-NL"/>
              </w:rPr>
            </w:pPr>
          </w:p>
          <w:p w14:paraId="068673B9" w14:textId="77777777" w:rsidR="0052140A" w:rsidRPr="00D0255B" w:rsidRDefault="0052140A" w:rsidP="00BB02A5">
            <w:pPr>
              <w:pStyle w:val="Geenafstand"/>
              <w:jc w:val="both"/>
              <w:rPr>
                <w:rStyle w:val="Hyperlink"/>
                <w:rFonts w:cstheme="minorHAnsi"/>
                <w:lang w:val="nl-NL"/>
              </w:rPr>
            </w:pPr>
            <w:r w:rsidRPr="00D0255B">
              <w:rPr>
                <w:rStyle w:val="Hyperlink"/>
                <w:rFonts w:cstheme="minorHAnsi"/>
                <w:lang w:val="nl-NL"/>
              </w:rPr>
              <w:t>§ 3. Wanneer er slechts één bestuurder is en hij een belangenconflict heeft, dan legt hij de beslissing of verrichting aan de algemene vergadering voor.</w:t>
            </w:r>
          </w:p>
          <w:p w14:paraId="6F1240DE" w14:textId="77777777" w:rsidR="0052140A" w:rsidRPr="00D0255B" w:rsidRDefault="0052140A" w:rsidP="00BB02A5">
            <w:pPr>
              <w:pStyle w:val="Geenafstand"/>
              <w:jc w:val="both"/>
              <w:rPr>
                <w:rStyle w:val="Hyperlink"/>
                <w:rFonts w:cstheme="minorHAnsi"/>
                <w:lang w:val="nl-NL"/>
              </w:rPr>
            </w:pPr>
          </w:p>
          <w:p w14:paraId="2A4F7B7D" w14:textId="77777777" w:rsidR="0052140A" w:rsidRPr="00D0255B" w:rsidRDefault="0052140A" w:rsidP="00BB02A5">
            <w:pPr>
              <w:pStyle w:val="Geenafstand"/>
              <w:jc w:val="both"/>
              <w:rPr>
                <w:rStyle w:val="Hyperlink"/>
                <w:rFonts w:cstheme="minorHAnsi"/>
                <w:lang w:val="nl-NL"/>
              </w:rPr>
            </w:pPr>
            <w:r w:rsidRPr="00D0255B">
              <w:rPr>
                <w:rStyle w:val="Hyperlink"/>
                <w:rFonts w:cstheme="minorHAnsi"/>
                <w:lang w:val="nl-NL"/>
              </w:rPr>
              <w:t xml:space="preserve"> § 4. De paragrafen 1 tot 3 zijn niet van toepassing wanneer de hierboven bedoelde beslissingen of verrichtingen tot stand zijn gekomen tussen vennootschappen waarvan de ene rechtstreeks of onrechtstreeks ten minste 95 % bezit van de stemmen verbonden aan het geheel van de door de andere uitgegeven effecten, dan wel tussen vennootschappen waarvan ten minste 95 % van de stemmen verbonden aan het geheel van de door elk van hen uitgegeven effecten in het bezit zijn van een andere vennootschap.</w:t>
            </w:r>
          </w:p>
          <w:p w14:paraId="4641212F" w14:textId="77777777" w:rsidR="0052140A" w:rsidRPr="00D0255B" w:rsidRDefault="0052140A" w:rsidP="00BB02A5">
            <w:pPr>
              <w:pStyle w:val="Geenafstand"/>
              <w:jc w:val="both"/>
              <w:rPr>
                <w:rStyle w:val="Hyperlink"/>
                <w:rFonts w:cstheme="minorHAnsi"/>
                <w:lang w:val="nl-NL"/>
              </w:rPr>
            </w:pPr>
          </w:p>
          <w:p w14:paraId="4BA2D972" w14:textId="31081484" w:rsidR="0052140A" w:rsidRPr="00A91C3C" w:rsidRDefault="0052140A" w:rsidP="00BB02A5">
            <w:pPr>
              <w:tabs>
                <w:tab w:val="left" w:pos="1170"/>
              </w:tabs>
              <w:spacing w:after="0" w:line="240" w:lineRule="auto"/>
              <w:jc w:val="both"/>
              <w:rPr>
                <w:rFonts w:cstheme="minorHAnsi"/>
                <w:lang w:val="nl-BE"/>
              </w:rPr>
            </w:pPr>
            <w:r w:rsidRPr="00D0255B">
              <w:rPr>
                <w:rStyle w:val="Hyperlink"/>
                <w:rFonts w:cstheme="minorHAnsi"/>
                <w:lang w:val="nl-NL"/>
              </w:rPr>
              <w:t>Bovendien zijn de paragrafen 1 tot 3 niet van toepassing wanneer de beslissingen van het bestuursorgaan betrekking hebben op gebruikelijke verrichtingen die plaatshebben onder de voorwaarden en tegen de zekerheden die op de markt gewoonlijk gelden voor soortgelijke verrichtingen.</w:t>
            </w:r>
            <w:r w:rsidR="00D0255B">
              <w:rPr>
                <w:rFonts w:cstheme="minorHAnsi"/>
                <w:lang w:val="nl-NL"/>
              </w:rPr>
              <w:fldChar w:fldCharType="end"/>
            </w:r>
          </w:p>
        </w:tc>
        <w:tc>
          <w:tcPr>
            <w:tcW w:w="5812" w:type="dxa"/>
            <w:shd w:val="clear" w:color="auto" w:fill="auto"/>
          </w:tcPr>
          <w:p w14:paraId="417CCE4B" w14:textId="4D56F764" w:rsidR="0052140A" w:rsidRPr="00D0255B" w:rsidRDefault="00D0255B" w:rsidP="00BB02A5">
            <w:pPr>
              <w:spacing w:after="0" w:line="240" w:lineRule="auto"/>
              <w:jc w:val="both"/>
              <w:rPr>
                <w:rStyle w:val="Hyperlink"/>
                <w:rFonts w:cstheme="minorHAnsi"/>
                <w:lang w:val="fr-FR"/>
              </w:rPr>
            </w:pPr>
            <w:r>
              <w:rPr>
                <w:rFonts w:cstheme="minorHAnsi"/>
                <w:lang w:val="fr-BE"/>
              </w:rPr>
              <w:lastRenderedPageBreak/>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52140A" w:rsidRPr="00D0255B">
              <w:rPr>
                <w:rStyle w:val="Hyperlink"/>
                <w:rFonts w:cstheme="minorHAnsi"/>
                <w:lang w:val="fr-BE"/>
              </w:rPr>
              <w:t>§ 1</w:t>
            </w:r>
            <w:r w:rsidR="0052140A" w:rsidRPr="00D0255B">
              <w:rPr>
                <w:rStyle w:val="Hyperlink"/>
                <w:rFonts w:cstheme="minorHAnsi"/>
                <w:vertAlign w:val="superscript"/>
                <w:lang w:val="fr-BE"/>
              </w:rPr>
              <w:t>er</w:t>
            </w:r>
            <w:r w:rsidR="0052140A" w:rsidRPr="00D0255B">
              <w:rPr>
                <w:rStyle w:val="Hyperlink"/>
                <w:rFonts w:cstheme="minorHAnsi"/>
                <w:lang w:val="fr-BE"/>
              </w:rPr>
              <w:t>. Lorsque l’organe d’administration est appelé à prendre une décision ou se prononcer sur une opération relevant de sa compétence à propos de laquelle un administrateur a un intérêt direct ou indirect de nature patrimoniale qui est opposé à l’intérêt de la société, et que plusieurs administrateurs sont chacun individuellement compétents pour administrer ou représenter la société, l’administrateur en question doit en informer les autres administrateurs. Sa déclaration et ses explications sur la nature de cet intérêt opposé doivent figurer dans le procès-verbal d’une réunion de ces autres administrateurs. Les autres administrateurs peuvent prendre la décision ou réaliser l’opération eux-mêmes. Dans ce cas, l’administrateur qui a le conflit d’intérêts ne peut prendre part aux délibérations des autres administrateurs concernant cette décision ou opération.</w:t>
            </w:r>
          </w:p>
          <w:p w14:paraId="6C02F1F4" w14:textId="77777777" w:rsidR="0052140A" w:rsidRPr="00D0255B" w:rsidRDefault="0052140A" w:rsidP="00BB02A5">
            <w:pPr>
              <w:spacing w:after="0" w:line="240" w:lineRule="auto"/>
              <w:jc w:val="both"/>
              <w:rPr>
                <w:rStyle w:val="Hyperlink"/>
                <w:rFonts w:cstheme="minorHAnsi"/>
                <w:lang w:val="fr-BE"/>
              </w:rPr>
            </w:pPr>
          </w:p>
          <w:p w14:paraId="48090E42" w14:textId="77777777" w:rsidR="0052140A" w:rsidRPr="00D0255B" w:rsidRDefault="0052140A" w:rsidP="00BB02A5">
            <w:pPr>
              <w:spacing w:after="0" w:line="240" w:lineRule="auto"/>
              <w:jc w:val="both"/>
              <w:rPr>
                <w:rStyle w:val="Hyperlink"/>
                <w:rFonts w:cstheme="minorHAnsi"/>
                <w:lang w:val="fr-BE"/>
              </w:rPr>
            </w:pPr>
            <w:r w:rsidRPr="00D0255B">
              <w:rPr>
                <w:rStyle w:val="Hyperlink"/>
                <w:rFonts w:cstheme="minorHAnsi"/>
                <w:lang w:val="fr-BE"/>
              </w:rPr>
              <w:t>Lorsque tous les administrateurs ont un conflit d’intérêts, la décision ou l’opération est soumise à l’assemblée générale; si l’assemblée générale approuve la décision ou l’opération, l’organe d’administration peut l’exécuter.</w:t>
            </w:r>
          </w:p>
          <w:p w14:paraId="1E74D41E" w14:textId="77777777" w:rsidR="0052140A" w:rsidRPr="00D0255B" w:rsidRDefault="0052140A" w:rsidP="00BB02A5">
            <w:pPr>
              <w:spacing w:after="0" w:line="240" w:lineRule="auto"/>
              <w:jc w:val="both"/>
              <w:rPr>
                <w:rStyle w:val="Hyperlink"/>
                <w:rFonts w:cstheme="minorHAnsi"/>
                <w:lang w:val="fr-BE"/>
              </w:rPr>
            </w:pPr>
          </w:p>
          <w:p w14:paraId="02FA4A16" w14:textId="77777777" w:rsidR="0052140A" w:rsidRPr="00D0255B" w:rsidRDefault="0052140A" w:rsidP="00BB02A5">
            <w:pPr>
              <w:spacing w:after="0" w:line="240" w:lineRule="auto"/>
              <w:jc w:val="both"/>
              <w:rPr>
                <w:rStyle w:val="Hyperlink"/>
                <w:rFonts w:cstheme="minorHAnsi"/>
                <w:lang w:val="fr-BE"/>
              </w:rPr>
            </w:pPr>
            <w:r w:rsidRPr="00D0255B">
              <w:rPr>
                <w:rStyle w:val="Hyperlink"/>
                <w:rFonts w:cstheme="minorHAnsi"/>
                <w:lang w:val="fr-BE"/>
              </w:rPr>
              <w:t xml:space="preserve">§ 2. Si les statuts prévoient que l’organe d’administration est un organe collégial, la décision est prise ou l’opération accomplie par l’organe d’administration, sans que </w:t>
            </w:r>
            <w:r w:rsidRPr="00D0255B">
              <w:rPr>
                <w:rStyle w:val="Hyperlink"/>
                <w:rFonts w:cstheme="minorHAnsi"/>
                <w:lang w:val="fr-BE"/>
              </w:rPr>
              <w:lastRenderedPageBreak/>
              <w:t>l’administrateur qui est en situation de conflit d’intérêts puisse participer aux délibérations de l’organe d’administration concernant cette décision ou opération, ni participer au vote à ce propos. Lorsque tous les administrateurs de l’organe d’administration collégial ont un conflit d’intérêts, la décision ou l’opération est soumise à l’assemblée générale; si l’assemblée générale approuve la décision ou l’opération, l’organe d’administration peut l’exécuter.</w:t>
            </w:r>
          </w:p>
          <w:p w14:paraId="56F8D088" w14:textId="77777777" w:rsidR="0052140A" w:rsidRPr="00D0255B" w:rsidRDefault="0052140A" w:rsidP="00BB02A5">
            <w:pPr>
              <w:spacing w:after="0" w:line="240" w:lineRule="auto"/>
              <w:jc w:val="both"/>
              <w:rPr>
                <w:rStyle w:val="Hyperlink"/>
                <w:rFonts w:cstheme="minorHAnsi"/>
                <w:lang w:val="fr-BE"/>
              </w:rPr>
            </w:pPr>
          </w:p>
          <w:p w14:paraId="2264E77F" w14:textId="77777777" w:rsidR="0052140A" w:rsidRPr="00D0255B" w:rsidRDefault="0052140A" w:rsidP="00BB02A5">
            <w:pPr>
              <w:pStyle w:val="Geenafstand"/>
              <w:jc w:val="both"/>
              <w:rPr>
                <w:rStyle w:val="Hyperlink"/>
                <w:rFonts w:cstheme="minorHAnsi"/>
                <w:lang w:val="fr-BE"/>
              </w:rPr>
            </w:pPr>
            <w:r w:rsidRPr="00D0255B">
              <w:rPr>
                <w:rStyle w:val="Hyperlink"/>
                <w:rFonts w:cstheme="minorHAnsi"/>
                <w:lang w:val="fr-BE"/>
              </w:rPr>
              <w:t>§ 3. Lorsqu’il n’y a qu’un administrateur et qu’il a un conflit d’intérêts, il soumet la décision ou l’opération à l’assemblée générale.</w:t>
            </w:r>
          </w:p>
          <w:p w14:paraId="1411C7CF" w14:textId="77777777" w:rsidR="0052140A" w:rsidRPr="00D0255B" w:rsidRDefault="0052140A" w:rsidP="00BB02A5">
            <w:pPr>
              <w:pStyle w:val="Geenafstand"/>
              <w:jc w:val="both"/>
              <w:rPr>
                <w:rStyle w:val="Hyperlink"/>
                <w:rFonts w:cstheme="minorHAnsi"/>
                <w:lang w:val="fr-BE"/>
              </w:rPr>
            </w:pPr>
          </w:p>
          <w:p w14:paraId="092B0D6B" w14:textId="77777777" w:rsidR="0052140A" w:rsidRPr="00D0255B" w:rsidRDefault="0052140A" w:rsidP="00BB02A5">
            <w:pPr>
              <w:pStyle w:val="Geenafstand"/>
              <w:jc w:val="both"/>
              <w:rPr>
                <w:rStyle w:val="Hyperlink"/>
                <w:rFonts w:cstheme="minorHAnsi"/>
                <w:lang w:val="fr-BE"/>
              </w:rPr>
            </w:pPr>
            <w:r w:rsidRPr="00D0255B">
              <w:rPr>
                <w:rStyle w:val="Hyperlink"/>
                <w:rFonts w:cstheme="minorHAnsi"/>
                <w:lang w:val="fr-BE"/>
              </w:rPr>
              <w:t xml:space="preserve">  § 4. Les paragraphes 1</w:t>
            </w:r>
            <w:r w:rsidRPr="00D0255B">
              <w:rPr>
                <w:rStyle w:val="Hyperlink"/>
                <w:rFonts w:cstheme="minorHAnsi"/>
                <w:vertAlign w:val="superscript"/>
                <w:lang w:val="fr-BE"/>
              </w:rPr>
              <w:t>er</w:t>
            </w:r>
            <w:r w:rsidRPr="00D0255B">
              <w:rPr>
                <w:rStyle w:val="Hyperlink"/>
                <w:rFonts w:cstheme="minorHAnsi"/>
                <w:lang w:val="fr-BE"/>
              </w:rPr>
              <w:t xml:space="preserve"> à 3 ne sont pas applicables lorsque les décisions ou opérations visées ci-dessus ont été conclues entre sociétés dont l’une détient directement ou indirectement 95 % au moins des voix attachées à l’ensemble des titres émis par l’autre ou entre sociétés dont 95 % au moins des voix attachées à l’ensemble des titres émis par chacune d’elles sont détenues par une autre société.</w:t>
            </w:r>
          </w:p>
          <w:p w14:paraId="53AE84B5" w14:textId="77777777" w:rsidR="0052140A" w:rsidRPr="00D0255B" w:rsidRDefault="0052140A" w:rsidP="00BB02A5">
            <w:pPr>
              <w:pStyle w:val="Geenafstand"/>
              <w:jc w:val="both"/>
              <w:rPr>
                <w:rStyle w:val="Hyperlink"/>
                <w:rFonts w:cstheme="minorHAnsi"/>
                <w:lang w:val="fr-BE"/>
              </w:rPr>
            </w:pPr>
          </w:p>
          <w:p w14:paraId="6925EE7D" w14:textId="6B392920" w:rsidR="0052140A" w:rsidRPr="00A91C3C" w:rsidRDefault="0052140A" w:rsidP="00BB02A5">
            <w:pPr>
              <w:pStyle w:val="Geenafstand"/>
              <w:jc w:val="both"/>
              <w:rPr>
                <w:rFonts w:cstheme="minorHAnsi"/>
                <w:lang w:val="fr-BE"/>
              </w:rPr>
            </w:pPr>
            <w:r w:rsidRPr="00D0255B">
              <w:rPr>
                <w:rStyle w:val="Hyperlink"/>
                <w:rFonts w:cstheme="minorHAnsi"/>
                <w:lang w:val="fr-BE"/>
              </w:rPr>
              <w:t>De même, les paragraphes 1</w:t>
            </w:r>
            <w:r w:rsidRPr="00D0255B">
              <w:rPr>
                <w:rStyle w:val="Hyperlink"/>
                <w:rFonts w:cstheme="minorHAnsi"/>
                <w:vertAlign w:val="superscript"/>
                <w:lang w:val="fr-BE"/>
              </w:rPr>
              <w:t>er</w:t>
            </w:r>
            <w:r w:rsidRPr="00D0255B">
              <w:rPr>
                <w:rStyle w:val="Hyperlink"/>
                <w:rFonts w:cstheme="minorHAnsi"/>
                <w:lang w:val="fr-BE"/>
              </w:rPr>
              <w:t xml:space="preserve"> à 3 ne sont pas applicables lorsque les décisions de l’organe d’administration concernent des opérations habituelles conclues dans des conditions et sous les garanties normales du marché pour des opérations de même nature.</w:t>
            </w:r>
            <w:r w:rsidR="00D0255B">
              <w:rPr>
                <w:rFonts w:cstheme="minorHAnsi"/>
                <w:lang w:val="fr-BE"/>
              </w:rPr>
              <w:fldChar w:fldCharType="end"/>
            </w:r>
            <w:bookmarkStart w:id="0" w:name="_GoBack"/>
            <w:bookmarkEnd w:id="0"/>
          </w:p>
        </w:tc>
      </w:tr>
      <w:tr w:rsidR="00257597" w:rsidRPr="00257597" w14:paraId="6688A035" w14:textId="77777777" w:rsidTr="00257597">
        <w:trPr>
          <w:trHeight w:val="339"/>
        </w:trPr>
        <w:tc>
          <w:tcPr>
            <w:tcW w:w="1980" w:type="dxa"/>
          </w:tcPr>
          <w:p w14:paraId="08C96E90" w14:textId="169B0569" w:rsidR="00257597" w:rsidRDefault="00257597" w:rsidP="00BB02A5">
            <w:pPr>
              <w:spacing w:after="0" w:line="240" w:lineRule="auto"/>
              <w:jc w:val="both"/>
              <w:rPr>
                <w:rFonts w:cs="Calibri"/>
                <w:lang w:val="nl-BE"/>
              </w:rPr>
            </w:pPr>
            <w:proofErr w:type="spellStart"/>
            <w:r w:rsidRPr="00F53A2E">
              <w:lastRenderedPageBreak/>
              <w:t>Ontwerp</w:t>
            </w:r>
            <w:proofErr w:type="spellEnd"/>
          </w:p>
        </w:tc>
        <w:tc>
          <w:tcPr>
            <w:tcW w:w="5953" w:type="dxa"/>
            <w:shd w:val="clear" w:color="auto" w:fill="auto"/>
          </w:tcPr>
          <w:p w14:paraId="32A34A88" w14:textId="542B41BE" w:rsidR="00257597" w:rsidRPr="00D41C14" w:rsidRDefault="00257597" w:rsidP="00BB02A5">
            <w:pPr>
              <w:spacing w:after="0" w:line="240" w:lineRule="auto"/>
              <w:jc w:val="both"/>
              <w:rPr>
                <w:rFonts w:cstheme="minorHAnsi"/>
                <w:lang w:val="nl-NL"/>
              </w:rPr>
            </w:pPr>
            <w:proofErr w:type="spellStart"/>
            <w:r w:rsidRPr="00F53A2E">
              <w:t>Geen</w:t>
            </w:r>
            <w:proofErr w:type="spellEnd"/>
            <w:r w:rsidRPr="00F53A2E">
              <w:t xml:space="preserve"> </w:t>
            </w:r>
            <w:proofErr w:type="spellStart"/>
            <w:r w:rsidRPr="00F53A2E">
              <w:t>artikel</w:t>
            </w:r>
            <w:proofErr w:type="spellEnd"/>
            <w:r>
              <w:t>.</w:t>
            </w:r>
          </w:p>
        </w:tc>
        <w:tc>
          <w:tcPr>
            <w:tcW w:w="5812" w:type="dxa"/>
            <w:shd w:val="clear" w:color="auto" w:fill="auto"/>
          </w:tcPr>
          <w:p w14:paraId="3D6F0110" w14:textId="1A86037F" w:rsidR="00257597" w:rsidRPr="00D41C14" w:rsidRDefault="00257597" w:rsidP="00BB02A5">
            <w:pPr>
              <w:spacing w:after="0" w:line="240" w:lineRule="auto"/>
              <w:jc w:val="both"/>
              <w:rPr>
                <w:rFonts w:cstheme="minorHAnsi"/>
                <w:lang w:val="fr-BE"/>
              </w:rPr>
            </w:pPr>
            <w:r>
              <w:t xml:space="preserve">Pas </w:t>
            </w:r>
            <w:proofErr w:type="spellStart"/>
            <w:r>
              <w:t>d’article</w:t>
            </w:r>
            <w:proofErr w:type="spellEnd"/>
            <w:r>
              <w:t>.</w:t>
            </w:r>
          </w:p>
        </w:tc>
      </w:tr>
      <w:tr w:rsidR="00257597" w:rsidRPr="000D7FF5" w14:paraId="7856177D" w14:textId="77777777" w:rsidTr="00257597">
        <w:trPr>
          <w:trHeight w:val="381"/>
        </w:trPr>
        <w:tc>
          <w:tcPr>
            <w:tcW w:w="1980" w:type="dxa"/>
          </w:tcPr>
          <w:p w14:paraId="4CBA47E8" w14:textId="77777777" w:rsidR="00257597" w:rsidRPr="000D7FF5" w:rsidRDefault="00257597" w:rsidP="00BB02A5">
            <w:pPr>
              <w:spacing w:after="0" w:line="240" w:lineRule="auto"/>
              <w:jc w:val="both"/>
              <w:rPr>
                <w:rFonts w:cs="Calibri"/>
                <w:lang w:val="fr-FR"/>
              </w:rPr>
            </w:pPr>
            <w:proofErr w:type="spellStart"/>
            <w:r>
              <w:rPr>
                <w:rFonts w:cs="Calibri"/>
                <w:lang w:val="fr-FR"/>
              </w:rPr>
              <w:t>Voorontwerp</w:t>
            </w:r>
            <w:proofErr w:type="spellEnd"/>
          </w:p>
        </w:tc>
        <w:tc>
          <w:tcPr>
            <w:tcW w:w="5953" w:type="dxa"/>
            <w:shd w:val="clear" w:color="auto" w:fill="auto"/>
          </w:tcPr>
          <w:p w14:paraId="21656214" w14:textId="77777777" w:rsidR="00257597" w:rsidRPr="000D7FF5" w:rsidRDefault="00257597" w:rsidP="00BB02A5">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812" w:type="dxa"/>
            <w:shd w:val="clear" w:color="auto" w:fill="auto"/>
          </w:tcPr>
          <w:p w14:paraId="49706817" w14:textId="77777777" w:rsidR="00257597" w:rsidRPr="00D41C14" w:rsidRDefault="00257597" w:rsidP="00BB02A5">
            <w:pPr>
              <w:spacing w:after="0" w:line="240" w:lineRule="auto"/>
              <w:jc w:val="both"/>
              <w:rPr>
                <w:rFonts w:cstheme="minorHAnsi"/>
                <w:lang w:val="fr-BE"/>
              </w:rPr>
            </w:pPr>
            <w:r>
              <w:rPr>
                <w:rFonts w:cstheme="minorHAnsi"/>
                <w:lang w:val="fr-BE"/>
              </w:rPr>
              <w:t>Pas d’article.</w:t>
            </w:r>
          </w:p>
        </w:tc>
      </w:tr>
      <w:tr w:rsidR="00257597" w:rsidRPr="000D7FF5" w14:paraId="7A06F77C" w14:textId="77777777" w:rsidTr="00BB02A5">
        <w:trPr>
          <w:trHeight w:val="416"/>
        </w:trPr>
        <w:tc>
          <w:tcPr>
            <w:tcW w:w="1980" w:type="dxa"/>
          </w:tcPr>
          <w:p w14:paraId="60097FA8" w14:textId="77777777" w:rsidR="00257597" w:rsidRPr="00F53A2E" w:rsidRDefault="00257597" w:rsidP="00BB02A5">
            <w:pPr>
              <w:spacing w:after="0"/>
            </w:pPr>
            <w:proofErr w:type="spellStart"/>
            <w:r>
              <w:t>MvT</w:t>
            </w:r>
            <w:proofErr w:type="spellEnd"/>
          </w:p>
        </w:tc>
        <w:tc>
          <w:tcPr>
            <w:tcW w:w="5953" w:type="dxa"/>
            <w:shd w:val="clear" w:color="auto" w:fill="auto"/>
          </w:tcPr>
          <w:p w14:paraId="67733688" w14:textId="77777777" w:rsidR="00257597" w:rsidRPr="00063E4F" w:rsidRDefault="00257597" w:rsidP="00BB02A5">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49FFEBD4" w14:textId="77777777" w:rsidR="00257597" w:rsidRPr="00063E4F" w:rsidRDefault="00257597" w:rsidP="00BB02A5">
            <w:pPr>
              <w:spacing w:after="0"/>
            </w:pPr>
            <w:r>
              <w:t xml:space="preserve">Pas de </w:t>
            </w:r>
            <w:proofErr w:type="spellStart"/>
            <w:r>
              <w:t>remarques</w:t>
            </w:r>
            <w:proofErr w:type="spellEnd"/>
            <w:r>
              <w:t>.</w:t>
            </w:r>
          </w:p>
        </w:tc>
      </w:tr>
      <w:tr w:rsidR="00257597" w:rsidRPr="000D7FF5" w14:paraId="7BEE72E2" w14:textId="77777777" w:rsidTr="00BB02A5">
        <w:trPr>
          <w:trHeight w:val="423"/>
        </w:trPr>
        <w:tc>
          <w:tcPr>
            <w:tcW w:w="1980" w:type="dxa"/>
          </w:tcPr>
          <w:p w14:paraId="78513738" w14:textId="77777777" w:rsidR="00257597" w:rsidRPr="00F53A2E" w:rsidRDefault="00257597" w:rsidP="00BB02A5">
            <w:pPr>
              <w:spacing w:after="0"/>
            </w:pPr>
            <w:proofErr w:type="spellStart"/>
            <w:r>
              <w:t>RvSt</w:t>
            </w:r>
            <w:proofErr w:type="spellEnd"/>
          </w:p>
        </w:tc>
        <w:tc>
          <w:tcPr>
            <w:tcW w:w="5953" w:type="dxa"/>
            <w:shd w:val="clear" w:color="auto" w:fill="auto"/>
          </w:tcPr>
          <w:p w14:paraId="5EC06431" w14:textId="77777777" w:rsidR="00257597" w:rsidRPr="00063E4F" w:rsidRDefault="00257597" w:rsidP="00BB02A5">
            <w:pPr>
              <w:spacing w:after="0"/>
            </w:pPr>
            <w:proofErr w:type="spellStart"/>
            <w:r>
              <w:t>Geen</w:t>
            </w:r>
            <w:proofErr w:type="spellEnd"/>
            <w:r>
              <w:t xml:space="preserve"> </w:t>
            </w:r>
            <w:proofErr w:type="spellStart"/>
            <w:r>
              <w:t>opmerkingen</w:t>
            </w:r>
            <w:proofErr w:type="spellEnd"/>
            <w:r>
              <w:t>.</w:t>
            </w:r>
          </w:p>
        </w:tc>
        <w:tc>
          <w:tcPr>
            <w:tcW w:w="5812" w:type="dxa"/>
            <w:shd w:val="clear" w:color="auto" w:fill="auto"/>
          </w:tcPr>
          <w:p w14:paraId="15D08797" w14:textId="77777777" w:rsidR="00257597" w:rsidRPr="00063E4F" w:rsidRDefault="00257597" w:rsidP="00BB02A5">
            <w:pPr>
              <w:spacing w:after="0"/>
            </w:pPr>
            <w:r>
              <w:t xml:space="preserve">Pas de </w:t>
            </w:r>
            <w:proofErr w:type="spellStart"/>
            <w:r>
              <w:t>remarques</w:t>
            </w:r>
            <w:proofErr w:type="spellEnd"/>
            <w:r>
              <w:t>.</w:t>
            </w:r>
          </w:p>
        </w:tc>
      </w:tr>
      <w:tr w:rsidR="00521DC3" w:rsidRPr="00D0255B" w14:paraId="1434EFAE" w14:textId="77777777" w:rsidTr="00BB02A5">
        <w:trPr>
          <w:trHeight w:val="423"/>
        </w:trPr>
        <w:tc>
          <w:tcPr>
            <w:tcW w:w="1980" w:type="dxa"/>
          </w:tcPr>
          <w:p w14:paraId="34F94326" w14:textId="4DDB9411" w:rsidR="00521DC3" w:rsidRDefault="00521DC3" w:rsidP="00D0255B">
            <w:pPr>
              <w:pStyle w:val="Kop1"/>
            </w:pPr>
            <w:bookmarkStart w:id="1" w:name="_Amendement_542"/>
            <w:bookmarkStart w:id="2" w:name="_Amendement_542_1"/>
            <w:bookmarkEnd w:id="1"/>
            <w:bookmarkEnd w:id="2"/>
            <w:proofErr w:type="spellStart"/>
            <w:r>
              <w:lastRenderedPageBreak/>
              <w:t>Amendement</w:t>
            </w:r>
            <w:proofErr w:type="spellEnd"/>
            <w:r>
              <w:t xml:space="preserve"> 542</w:t>
            </w:r>
          </w:p>
        </w:tc>
        <w:tc>
          <w:tcPr>
            <w:tcW w:w="5953" w:type="dxa"/>
            <w:shd w:val="clear" w:color="auto" w:fill="auto"/>
          </w:tcPr>
          <w:p w14:paraId="5991E3D7" w14:textId="572664DE" w:rsidR="00521DC3" w:rsidRPr="00134156" w:rsidRDefault="00134156" w:rsidP="00134156">
            <w:pPr>
              <w:spacing w:after="0"/>
              <w:jc w:val="both"/>
              <w:rPr>
                <w:lang w:val="nl-NL"/>
              </w:rPr>
            </w:pPr>
            <w:r w:rsidRPr="00134156">
              <w:rPr>
                <w:lang w:val="nl-NL"/>
              </w:rPr>
              <w:t xml:space="preserve">De tekst is een overeenkomstige herneming van artikel 5:76, met dien verstande dat de hypothese van de eenhoofdige </w:t>
            </w:r>
            <w:proofErr w:type="gramStart"/>
            <w:r w:rsidRPr="00134156">
              <w:rPr>
                <w:lang w:val="nl-NL"/>
              </w:rPr>
              <w:t>CV</w:t>
            </w:r>
            <w:proofErr w:type="gramEnd"/>
            <w:r w:rsidRPr="00134156">
              <w:rPr>
                <w:lang w:val="nl-NL"/>
              </w:rPr>
              <w:t xml:space="preserve"> niet hoeft te worden geregeld. </w:t>
            </w:r>
          </w:p>
        </w:tc>
        <w:tc>
          <w:tcPr>
            <w:tcW w:w="5812" w:type="dxa"/>
            <w:shd w:val="clear" w:color="auto" w:fill="auto"/>
          </w:tcPr>
          <w:p w14:paraId="4CDEA38B" w14:textId="7BA73BFC" w:rsidR="00521DC3" w:rsidRPr="00D0255B" w:rsidRDefault="00D0255B" w:rsidP="00D0255B">
            <w:pPr>
              <w:spacing w:after="0"/>
              <w:jc w:val="both"/>
              <w:rPr>
                <w:lang w:val="fr-FR"/>
              </w:rPr>
            </w:pPr>
            <w:r w:rsidRPr="00D0255B">
              <w:rPr>
                <w:lang w:val="fr-FR"/>
              </w:rPr>
              <w:t xml:space="preserve">Le texte est une reprise conforme de l’article </w:t>
            </w:r>
            <w:proofErr w:type="gramStart"/>
            <w:r w:rsidRPr="00D0255B">
              <w:rPr>
                <w:lang w:val="fr-FR"/>
              </w:rPr>
              <w:t>5:</w:t>
            </w:r>
            <w:proofErr w:type="gramEnd"/>
            <w:r w:rsidRPr="00D0255B">
              <w:rPr>
                <w:lang w:val="fr-FR"/>
              </w:rPr>
              <w:t xml:space="preserve">76, étant entendu que l’hypothèse d’une SC unipersonnelle ne doit pas être réglée. </w:t>
            </w:r>
          </w:p>
        </w:tc>
      </w:tr>
    </w:tbl>
    <w:p w14:paraId="05BA4FCD"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556961" w14:textId="77777777" w:rsidR="00F40071" w:rsidRDefault="00F40071" w:rsidP="000D42B6">
      <w:pPr>
        <w:spacing w:after="0" w:line="240" w:lineRule="auto"/>
      </w:pPr>
      <w:r>
        <w:separator/>
      </w:r>
    </w:p>
  </w:endnote>
  <w:endnote w:type="continuationSeparator" w:id="0">
    <w:p w14:paraId="28342C70" w14:textId="77777777" w:rsidR="00F40071" w:rsidRDefault="00F4007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DDD92" w14:textId="77777777" w:rsidR="00F40071" w:rsidRDefault="00F40071" w:rsidP="000D42B6">
      <w:pPr>
        <w:spacing w:after="0" w:line="240" w:lineRule="auto"/>
      </w:pPr>
      <w:r>
        <w:separator/>
      </w:r>
    </w:p>
  </w:footnote>
  <w:footnote w:type="continuationSeparator" w:id="0">
    <w:p w14:paraId="09D09C48" w14:textId="77777777" w:rsidR="00F40071" w:rsidRDefault="00F40071"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24E85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0A22"/>
    <w:rsid w:val="000B434D"/>
    <w:rsid w:val="000D42B6"/>
    <w:rsid w:val="000D7FF5"/>
    <w:rsid w:val="00101EDC"/>
    <w:rsid w:val="00134156"/>
    <w:rsid w:val="00153A4F"/>
    <w:rsid w:val="00165054"/>
    <w:rsid w:val="001777AA"/>
    <w:rsid w:val="001A0A02"/>
    <w:rsid w:val="001C4D4C"/>
    <w:rsid w:val="00200CB2"/>
    <w:rsid w:val="00202051"/>
    <w:rsid w:val="00257597"/>
    <w:rsid w:val="00266AFF"/>
    <w:rsid w:val="00272BA1"/>
    <w:rsid w:val="002E2C50"/>
    <w:rsid w:val="002F3F41"/>
    <w:rsid w:val="00311F1A"/>
    <w:rsid w:val="00392D3D"/>
    <w:rsid w:val="00393BDA"/>
    <w:rsid w:val="003A6021"/>
    <w:rsid w:val="003B05A2"/>
    <w:rsid w:val="003B77F3"/>
    <w:rsid w:val="003D46FE"/>
    <w:rsid w:val="003D55CF"/>
    <w:rsid w:val="003F5AEA"/>
    <w:rsid w:val="004148F6"/>
    <w:rsid w:val="00417C7D"/>
    <w:rsid w:val="00427696"/>
    <w:rsid w:val="00475FC8"/>
    <w:rsid w:val="00482090"/>
    <w:rsid w:val="00503582"/>
    <w:rsid w:val="00512C24"/>
    <w:rsid w:val="0052140A"/>
    <w:rsid w:val="00521DC3"/>
    <w:rsid w:val="005407B7"/>
    <w:rsid w:val="00552278"/>
    <w:rsid w:val="0056512F"/>
    <w:rsid w:val="0057031D"/>
    <w:rsid w:val="005974AD"/>
    <w:rsid w:val="005A0621"/>
    <w:rsid w:val="005B33B1"/>
    <w:rsid w:val="005F46DA"/>
    <w:rsid w:val="006170A4"/>
    <w:rsid w:val="00630590"/>
    <w:rsid w:val="00642F57"/>
    <w:rsid w:val="006B667C"/>
    <w:rsid w:val="007061E6"/>
    <w:rsid w:val="007A6A5E"/>
    <w:rsid w:val="007B29A3"/>
    <w:rsid w:val="007D19C2"/>
    <w:rsid w:val="00871559"/>
    <w:rsid w:val="008849AC"/>
    <w:rsid w:val="008947A3"/>
    <w:rsid w:val="008A299A"/>
    <w:rsid w:val="008D169B"/>
    <w:rsid w:val="00902031"/>
    <w:rsid w:val="00916F5F"/>
    <w:rsid w:val="00950DFB"/>
    <w:rsid w:val="009662AF"/>
    <w:rsid w:val="00985EF6"/>
    <w:rsid w:val="0099503B"/>
    <w:rsid w:val="009A47FC"/>
    <w:rsid w:val="009D1831"/>
    <w:rsid w:val="00A41BE3"/>
    <w:rsid w:val="00A46D88"/>
    <w:rsid w:val="00A97687"/>
    <w:rsid w:val="00AE5EE8"/>
    <w:rsid w:val="00B0539A"/>
    <w:rsid w:val="00B2273C"/>
    <w:rsid w:val="00B53841"/>
    <w:rsid w:val="00BB02A5"/>
    <w:rsid w:val="00BB0F3C"/>
    <w:rsid w:val="00C43011"/>
    <w:rsid w:val="00C64210"/>
    <w:rsid w:val="00CE1421"/>
    <w:rsid w:val="00D0255B"/>
    <w:rsid w:val="00D61286"/>
    <w:rsid w:val="00D9012C"/>
    <w:rsid w:val="00DC54F2"/>
    <w:rsid w:val="00E17723"/>
    <w:rsid w:val="00E51E36"/>
    <w:rsid w:val="00E741D5"/>
    <w:rsid w:val="00E8314B"/>
    <w:rsid w:val="00EC7E26"/>
    <w:rsid w:val="00F40071"/>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854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D0255B"/>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90203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D0255B"/>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D025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C6B59-6708-2747-A10A-B541665AA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948</Words>
  <Characters>5216</Characters>
  <Application>Microsoft Macintosh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79</cp:revision>
  <dcterms:created xsi:type="dcterms:W3CDTF">2019-10-18T10:25:00Z</dcterms:created>
  <dcterms:modified xsi:type="dcterms:W3CDTF">2021-10-05T19:32:00Z</dcterms:modified>
</cp:coreProperties>
</file>