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6D08A300" w14:textId="77777777" w:rsidTr="00E17723">
        <w:tc>
          <w:tcPr>
            <w:tcW w:w="1980" w:type="dxa"/>
          </w:tcPr>
          <w:p w14:paraId="06B44DBF" w14:textId="77777777" w:rsidR="000D42B6" w:rsidRPr="00B07AC9" w:rsidRDefault="000D42B6" w:rsidP="00B1097D">
            <w:pPr>
              <w:rPr>
                <w:b/>
                <w:sz w:val="32"/>
                <w:szCs w:val="32"/>
                <w:lang w:val="nl-BE"/>
              </w:rPr>
            </w:pPr>
            <w:r w:rsidRPr="00B07AC9">
              <w:rPr>
                <w:b/>
                <w:sz w:val="32"/>
                <w:szCs w:val="32"/>
                <w:lang w:val="nl-BE"/>
              </w:rPr>
              <w:t xml:space="preserve">ARTIKEL </w:t>
            </w:r>
            <w:r w:rsidR="00183242">
              <w:rPr>
                <w:b/>
                <w:sz w:val="32"/>
                <w:szCs w:val="32"/>
                <w:lang w:val="nl-BE"/>
              </w:rPr>
              <w:t>6:7</w:t>
            </w:r>
            <w:r w:rsidR="001F6206">
              <w:rPr>
                <w:b/>
                <w:sz w:val="32"/>
                <w:szCs w:val="32"/>
                <w:lang w:val="nl-BE"/>
              </w:rPr>
              <w:t>8</w:t>
            </w:r>
          </w:p>
        </w:tc>
        <w:tc>
          <w:tcPr>
            <w:tcW w:w="11765" w:type="dxa"/>
            <w:gridSpan w:val="2"/>
            <w:shd w:val="clear" w:color="auto" w:fill="auto"/>
          </w:tcPr>
          <w:p w14:paraId="4E17403F" w14:textId="77777777" w:rsidR="000D42B6" w:rsidRPr="00382324" w:rsidRDefault="000D42B6" w:rsidP="00B1097D">
            <w:pPr>
              <w:rPr>
                <w:rFonts w:asciiTheme="majorHAnsi" w:eastAsiaTheme="majorEastAsia" w:hAnsiTheme="majorHAnsi" w:cstheme="majorBidi"/>
                <w:b/>
                <w:bCs/>
                <w:color w:val="2E74B5" w:themeColor="accent1" w:themeShade="BF"/>
                <w:sz w:val="32"/>
                <w:szCs w:val="28"/>
                <w:lang w:val="nl-BE"/>
              </w:rPr>
            </w:pPr>
          </w:p>
        </w:tc>
      </w:tr>
      <w:tr w:rsidR="00895F7A" w:rsidRPr="003818D2" w14:paraId="787EADD4" w14:textId="77777777" w:rsidTr="00220E8B">
        <w:tc>
          <w:tcPr>
            <w:tcW w:w="13745" w:type="dxa"/>
            <w:gridSpan w:val="3"/>
          </w:tcPr>
          <w:p w14:paraId="7F622956" w14:textId="77777777" w:rsidR="00895F7A" w:rsidRDefault="00895F7A" w:rsidP="00895F7A">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73D8CFA3" w14:textId="77777777" w:rsidR="00895F7A" w:rsidRDefault="00895F7A" w:rsidP="00895F7A">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5FA282BE" w14:textId="77777777" w:rsidR="00895F7A" w:rsidRPr="00895F7A" w:rsidRDefault="00895F7A" w:rsidP="00895F7A">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3818D2" w14:paraId="30093CE0" w14:textId="77777777" w:rsidTr="00E17723">
        <w:tc>
          <w:tcPr>
            <w:tcW w:w="1980" w:type="dxa"/>
          </w:tcPr>
          <w:p w14:paraId="2EDF930E" w14:textId="77777777" w:rsidR="005B33B1" w:rsidRPr="00B07AC9" w:rsidRDefault="005B33B1" w:rsidP="00B1097D">
            <w:pPr>
              <w:rPr>
                <w:b/>
                <w:sz w:val="32"/>
                <w:szCs w:val="32"/>
                <w:lang w:val="nl-BE"/>
              </w:rPr>
            </w:pPr>
          </w:p>
        </w:tc>
        <w:tc>
          <w:tcPr>
            <w:tcW w:w="11765" w:type="dxa"/>
            <w:gridSpan w:val="2"/>
            <w:shd w:val="clear" w:color="auto" w:fill="auto"/>
          </w:tcPr>
          <w:p w14:paraId="52194F6F" w14:textId="77777777" w:rsidR="005B33B1" w:rsidRPr="00382324" w:rsidRDefault="005B33B1" w:rsidP="00B1097D">
            <w:pPr>
              <w:rPr>
                <w:rFonts w:asciiTheme="majorHAnsi" w:eastAsiaTheme="majorEastAsia" w:hAnsiTheme="majorHAnsi" w:cstheme="majorBidi"/>
                <w:b/>
                <w:bCs/>
                <w:color w:val="2E74B5" w:themeColor="accent1" w:themeShade="BF"/>
                <w:sz w:val="32"/>
                <w:szCs w:val="28"/>
                <w:lang w:val="nl-BE"/>
              </w:rPr>
            </w:pPr>
          </w:p>
        </w:tc>
      </w:tr>
      <w:tr w:rsidR="001F6206" w:rsidRPr="003818D2" w14:paraId="3107AA84" w14:textId="77777777" w:rsidTr="00893CD7">
        <w:trPr>
          <w:trHeight w:val="803"/>
        </w:trPr>
        <w:tc>
          <w:tcPr>
            <w:tcW w:w="1980" w:type="dxa"/>
          </w:tcPr>
          <w:p w14:paraId="6D713843" w14:textId="77777777" w:rsidR="001F6206" w:rsidRDefault="001F6206" w:rsidP="00B1097D">
            <w:pPr>
              <w:spacing w:after="0" w:line="240" w:lineRule="auto"/>
              <w:jc w:val="both"/>
              <w:rPr>
                <w:rFonts w:cs="Calibri"/>
                <w:lang w:val="nl-BE"/>
              </w:rPr>
            </w:pPr>
            <w:r>
              <w:rPr>
                <w:rFonts w:cs="Calibri"/>
                <w:lang w:val="nl-BE"/>
              </w:rPr>
              <w:t>WVV</w:t>
            </w:r>
          </w:p>
        </w:tc>
        <w:tc>
          <w:tcPr>
            <w:tcW w:w="5812" w:type="dxa"/>
            <w:shd w:val="clear" w:color="auto" w:fill="auto"/>
          </w:tcPr>
          <w:p w14:paraId="2B8848D8" w14:textId="02834945" w:rsidR="001F6206" w:rsidRPr="00A93D4E" w:rsidRDefault="000A345F" w:rsidP="00B1097D">
            <w:pPr>
              <w:spacing w:after="0" w:line="240" w:lineRule="auto"/>
              <w:jc w:val="both"/>
              <w:rPr>
                <w:rFonts w:cstheme="minorHAnsi"/>
                <w:lang w:val="nl-BE"/>
              </w:rPr>
            </w:pPr>
            <w:hyperlink w:anchor="_Amendement_542" w:history="1">
              <w:r w:rsidR="001F6206" w:rsidRPr="000A345F">
                <w:rPr>
                  <w:rStyle w:val="Hyperlink"/>
                  <w:rFonts w:cstheme="minorHAnsi"/>
                  <w:lang w:val="nl-NL"/>
                </w:rPr>
                <w:t>Voor de vaststelling van de voorschriften inzake aanwezigheid en meerderheid die in de algemene vergadering moeten worden nageleefd, wordt geen rekening gehouden met aandelen waarvan het stemrecht is geschorst.</w:t>
              </w:r>
            </w:hyperlink>
          </w:p>
        </w:tc>
        <w:tc>
          <w:tcPr>
            <w:tcW w:w="5953" w:type="dxa"/>
            <w:shd w:val="clear" w:color="auto" w:fill="auto"/>
          </w:tcPr>
          <w:p w14:paraId="265F4C87" w14:textId="3849C2A0" w:rsidR="001F6206" w:rsidRPr="00A93D4E" w:rsidRDefault="000A345F" w:rsidP="00B1097D">
            <w:pPr>
              <w:spacing w:after="0" w:line="240" w:lineRule="auto"/>
              <w:jc w:val="both"/>
              <w:rPr>
                <w:rFonts w:cstheme="minorHAnsi"/>
                <w:lang w:val="fr-BE"/>
              </w:rPr>
            </w:pPr>
            <w:hyperlink w:anchor="_Amendement_542_1" w:history="1">
              <w:r w:rsidR="001F6206" w:rsidRPr="000A345F">
                <w:rPr>
                  <w:rStyle w:val="Hyperlink"/>
                  <w:rFonts w:cstheme="minorHAnsi"/>
                  <w:lang w:val="fr-BE"/>
                </w:rPr>
                <w:t>Il n’est pas tenu compte des actions dont le droit de vote a été suspendu pour la détermination des conditions de quorum et de majorité à observer dans les assemblées générales.</w:t>
              </w:r>
            </w:hyperlink>
            <w:bookmarkStart w:id="0" w:name="_GoBack"/>
            <w:bookmarkEnd w:id="0"/>
          </w:p>
        </w:tc>
      </w:tr>
      <w:tr w:rsidR="00416E43" w:rsidRPr="00416E43" w14:paraId="7271D622" w14:textId="77777777" w:rsidTr="00416E43">
        <w:trPr>
          <w:trHeight w:val="493"/>
        </w:trPr>
        <w:tc>
          <w:tcPr>
            <w:tcW w:w="1980" w:type="dxa"/>
          </w:tcPr>
          <w:p w14:paraId="3F03D753" w14:textId="5A1AC603" w:rsidR="00416E43" w:rsidRDefault="00416E43" w:rsidP="00B1097D">
            <w:pPr>
              <w:spacing w:after="0" w:line="240" w:lineRule="auto"/>
              <w:jc w:val="both"/>
              <w:rPr>
                <w:rFonts w:cs="Calibri"/>
                <w:lang w:val="nl-BE"/>
              </w:rPr>
            </w:pPr>
            <w:proofErr w:type="spellStart"/>
            <w:r w:rsidRPr="00100122">
              <w:t>Ontwerp</w:t>
            </w:r>
            <w:proofErr w:type="spellEnd"/>
          </w:p>
        </w:tc>
        <w:tc>
          <w:tcPr>
            <w:tcW w:w="5812" w:type="dxa"/>
            <w:shd w:val="clear" w:color="auto" w:fill="auto"/>
          </w:tcPr>
          <w:p w14:paraId="11686BF6" w14:textId="502B4BB6" w:rsidR="00416E43" w:rsidRPr="00D41C14" w:rsidRDefault="00416E43" w:rsidP="00B1097D">
            <w:pPr>
              <w:spacing w:after="0" w:line="240" w:lineRule="auto"/>
              <w:jc w:val="both"/>
              <w:rPr>
                <w:rFonts w:cstheme="minorHAnsi"/>
                <w:lang w:val="nl-NL"/>
              </w:rPr>
            </w:pPr>
            <w:proofErr w:type="spellStart"/>
            <w:r w:rsidRPr="00100122">
              <w:t>Geen</w:t>
            </w:r>
            <w:proofErr w:type="spellEnd"/>
            <w:r w:rsidRPr="00100122">
              <w:t xml:space="preserve"> </w:t>
            </w:r>
            <w:proofErr w:type="spellStart"/>
            <w:r w:rsidRPr="00100122">
              <w:t>artikel</w:t>
            </w:r>
            <w:proofErr w:type="spellEnd"/>
            <w:r>
              <w:t>.</w:t>
            </w:r>
          </w:p>
        </w:tc>
        <w:tc>
          <w:tcPr>
            <w:tcW w:w="5953" w:type="dxa"/>
            <w:shd w:val="clear" w:color="auto" w:fill="auto"/>
          </w:tcPr>
          <w:p w14:paraId="6E0289EA" w14:textId="2804712A" w:rsidR="00416E43" w:rsidRPr="00D41C14" w:rsidRDefault="00416E43" w:rsidP="00B1097D">
            <w:pPr>
              <w:spacing w:after="0" w:line="240" w:lineRule="auto"/>
              <w:jc w:val="both"/>
              <w:rPr>
                <w:rFonts w:cstheme="minorHAnsi"/>
                <w:lang w:val="fr-BE"/>
              </w:rPr>
            </w:pPr>
            <w:r>
              <w:t xml:space="preserve">Pas </w:t>
            </w:r>
            <w:proofErr w:type="spellStart"/>
            <w:r>
              <w:t>d’article</w:t>
            </w:r>
            <w:proofErr w:type="spellEnd"/>
            <w:r>
              <w:t>.</w:t>
            </w:r>
          </w:p>
        </w:tc>
      </w:tr>
      <w:tr w:rsidR="00416E43" w:rsidRPr="00750523" w14:paraId="499F22D7" w14:textId="77777777" w:rsidTr="00416E43">
        <w:trPr>
          <w:trHeight w:val="479"/>
        </w:trPr>
        <w:tc>
          <w:tcPr>
            <w:tcW w:w="1980" w:type="dxa"/>
          </w:tcPr>
          <w:p w14:paraId="0E254AC5" w14:textId="77777777" w:rsidR="00416E43" w:rsidRPr="00750523" w:rsidRDefault="00416E43" w:rsidP="00B1097D">
            <w:pPr>
              <w:spacing w:after="0" w:line="240" w:lineRule="auto"/>
              <w:jc w:val="both"/>
              <w:rPr>
                <w:rFonts w:cs="Calibri"/>
                <w:lang w:val="fr-FR"/>
              </w:rPr>
            </w:pPr>
            <w:proofErr w:type="spellStart"/>
            <w:r>
              <w:rPr>
                <w:rFonts w:cs="Calibri"/>
                <w:lang w:val="fr-FR"/>
              </w:rPr>
              <w:t>Voorontwerp</w:t>
            </w:r>
            <w:proofErr w:type="spellEnd"/>
          </w:p>
        </w:tc>
        <w:tc>
          <w:tcPr>
            <w:tcW w:w="5812" w:type="dxa"/>
            <w:shd w:val="clear" w:color="auto" w:fill="auto"/>
          </w:tcPr>
          <w:p w14:paraId="47B21F9D" w14:textId="77777777" w:rsidR="00416E43" w:rsidRPr="00750523" w:rsidRDefault="00416E43" w:rsidP="00B1097D">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p>
        </w:tc>
        <w:tc>
          <w:tcPr>
            <w:tcW w:w="5953" w:type="dxa"/>
            <w:shd w:val="clear" w:color="auto" w:fill="auto"/>
          </w:tcPr>
          <w:p w14:paraId="17739EC8" w14:textId="77777777" w:rsidR="00416E43" w:rsidRPr="00D41C14" w:rsidRDefault="00416E43" w:rsidP="00B1097D">
            <w:pPr>
              <w:spacing w:after="0" w:line="240" w:lineRule="auto"/>
              <w:jc w:val="both"/>
              <w:rPr>
                <w:rFonts w:cstheme="minorHAnsi"/>
                <w:lang w:val="fr-BE"/>
              </w:rPr>
            </w:pPr>
            <w:r>
              <w:rPr>
                <w:rFonts w:cstheme="minorHAnsi"/>
                <w:lang w:val="fr-BE"/>
              </w:rPr>
              <w:t>Pas d’article.</w:t>
            </w:r>
          </w:p>
        </w:tc>
      </w:tr>
      <w:tr w:rsidR="00416E43" w:rsidRPr="00750523" w14:paraId="1DB8A921" w14:textId="77777777" w:rsidTr="00B1097D">
        <w:trPr>
          <w:trHeight w:val="419"/>
        </w:trPr>
        <w:tc>
          <w:tcPr>
            <w:tcW w:w="1980" w:type="dxa"/>
          </w:tcPr>
          <w:p w14:paraId="5D20FEC4" w14:textId="77777777" w:rsidR="00416E43" w:rsidRPr="00100122" w:rsidRDefault="00416E43" w:rsidP="00B1097D">
            <w:pPr>
              <w:spacing w:after="0"/>
            </w:pPr>
            <w:proofErr w:type="spellStart"/>
            <w:r>
              <w:t>MvT</w:t>
            </w:r>
            <w:proofErr w:type="spellEnd"/>
          </w:p>
        </w:tc>
        <w:tc>
          <w:tcPr>
            <w:tcW w:w="5812" w:type="dxa"/>
            <w:shd w:val="clear" w:color="auto" w:fill="auto"/>
          </w:tcPr>
          <w:p w14:paraId="55DA8FC0" w14:textId="77777777" w:rsidR="00416E43" w:rsidRPr="00063E4F" w:rsidRDefault="00416E43" w:rsidP="00B1097D">
            <w:pPr>
              <w:spacing w:after="0"/>
            </w:pPr>
            <w:proofErr w:type="spellStart"/>
            <w:r>
              <w:t>Geen</w:t>
            </w:r>
            <w:proofErr w:type="spellEnd"/>
            <w:r>
              <w:t xml:space="preserve"> </w:t>
            </w:r>
            <w:proofErr w:type="spellStart"/>
            <w:r>
              <w:t>opmerkingen</w:t>
            </w:r>
            <w:proofErr w:type="spellEnd"/>
            <w:r>
              <w:t>.</w:t>
            </w:r>
          </w:p>
        </w:tc>
        <w:tc>
          <w:tcPr>
            <w:tcW w:w="5953" w:type="dxa"/>
            <w:shd w:val="clear" w:color="auto" w:fill="auto"/>
          </w:tcPr>
          <w:p w14:paraId="3CC99DD4" w14:textId="77777777" w:rsidR="00416E43" w:rsidRPr="00063E4F" w:rsidRDefault="00416E43" w:rsidP="00B1097D">
            <w:pPr>
              <w:spacing w:after="0"/>
            </w:pPr>
            <w:r>
              <w:t xml:space="preserve">Pas de </w:t>
            </w:r>
            <w:proofErr w:type="spellStart"/>
            <w:r>
              <w:t>remarques</w:t>
            </w:r>
            <w:proofErr w:type="spellEnd"/>
            <w:r>
              <w:t>.</w:t>
            </w:r>
          </w:p>
        </w:tc>
      </w:tr>
      <w:tr w:rsidR="00416E43" w:rsidRPr="00750523" w14:paraId="112CC2C4" w14:textId="77777777" w:rsidTr="00B1097D">
        <w:trPr>
          <w:trHeight w:val="410"/>
        </w:trPr>
        <w:tc>
          <w:tcPr>
            <w:tcW w:w="1980" w:type="dxa"/>
          </w:tcPr>
          <w:p w14:paraId="503D2C08" w14:textId="77777777" w:rsidR="00416E43" w:rsidRPr="00100122" w:rsidRDefault="00416E43" w:rsidP="00B1097D">
            <w:pPr>
              <w:spacing w:after="0"/>
            </w:pPr>
            <w:proofErr w:type="spellStart"/>
            <w:r>
              <w:t>MvT</w:t>
            </w:r>
            <w:proofErr w:type="spellEnd"/>
          </w:p>
        </w:tc>
        <w:tc>
          <w:tcPr>
            <w:tcW w:w="5812" w:type="dxa"/>
            <w:shd w:val="clear" w:color="auto" w:fill="auto"/>
          </w:tcPr>
          <w:p w14:paraId="55CF0EF7" w14:textId="77777777" w:rsidR="00416E43" w:rsidRPr="00063E4F" w:rsidRDefault="00416E43" w:rsidP="00B1097D">
            <w:pPr>
              <w:spacing w:after="0"/>
            </w:pPr>
            <w:proofErr w:type="spellStart"/>
            <w:r>
              <w:t>Geen</w:t>
            </w:r>
            <w:proofErr w:type="spellEnd"/>
            <w:r>
              <w:t xml:space="preserve"> </w:t>
            </w:r>
            <w:proofErr w:type="spellStart"/>
            <w:r>
              <w:t>opmerkingen</w:t>
            </w:r>
            <w:proofErr w:type="spellEnd"/>
            <w:r>
              <w:t>.</w:t>
            </w:r>
          </w:p>
        </w:tc>
        <w:tc>
          <w:tcPr>
            <w:tcW w:w="5953" w:type="dxa"/>
            <w:shd w:val="clear" w:color="auto" w:fill="auto"/>
          </w:tcPr>
          <w:p w14:paraId="037DEE54" w14:textId="77777777" w:rsidR="00416E43" w:rsidRPr="00063E4F" w:rsidRDefault="00416E43" w:rsidP="00B1097D">
            <w:pPr>
              <w:spacing w:after="0"/>
            </w:pPr>
            <w:r>
              <w:t xml:space="preserve">Pas de </w:t>
            </w:r>
            <w:proofErr w:type="spellStart"/>
            <w:r>
              <w:t>remarques</w:t>
            </w:r>
            <w:proofErr w:type="spellEnd"/>
            <w:r>
              <w:t>.</w:t>
            </w:r>
          </w:p>
        </w:tc>
      </w:tr>
      <w:tr w:rsidR="003818D2" w:rsidRPr="000A345F" w14:paraId="5D577B9C" w14:textId="77777777" w:rsidTr="00B1097D">
        <w:trPr>
          <w:trHeight w:val="410"/>
        </w:trPr>
        <w:tc>
          <w:tcPr>
            <w:tcW w:w="1980" w:type="dxa"/>
          </w:tcPr>
          <w:p w14:paraId="2C97D630" w14:textId="002DFBF3" w:rsidR="003818D2" w:rsidRDefault="003818D2" w:rsidP="000A345F">
            <w:pPr>
              <w:pStyle w:val="Kop1"/>
            </w:pPr>
            <w:bookmarkStart w:id="1" w:name="_Amendement_542"/>
            <w:bookmarkStart w:id="2" w:name="_Amendement_542_1"/>
            <w:bookmarkEnd w:id="1"/>
            <w:bookmarkEnd w:id="2"/>
            <w:proofErr w:type="spellStart"/>
            <w:r>
              <w:t>Amendement</w:t>
            </w:r>
            <w:proofErr w:type="spellEnd"/>
            <w:r>
              <w:t xml:space="preserve"> 542</w:t>
            </w:r>
          </w:p>
        </w:tc>
        <w:tc>
          <w:tcPr>
            <w:tcW w:w="5812" w:type="dxa"/>
            <w:shd w:val="clear" w:color="auto" w:fill="auto"/>
          </w:tcPr>
          <w:p w14:paraId="5800BD10" w14:textId="28A193A2" w:rsidR="003818D2" w:rsidRPr="000A345F" w:rsidRDefault="000A345F" w:rsidP="000A345F">
            <w:pPr>
              <w:spacing w:after="0"/>
              <w:jc w:val="both"/>
              <w:rPr>
                <w:lang w:val="nl-NL"/>
              </w:rPr>
            </w:pPr>
            <w:r w:rsidRPr="000A345F">
              <w:rPr>
                <w:lang w:val="nl-NL"/>
              </w:rPr>
              <w:t xml:space="preserve">De tekst is een overeenkomstige herneming van artikel 5:92, aangepast aan de effecten die een </w:t>
            </w:r>
            <w:proofErr w:type="gramStart"/>
            <w:r w:rsidRPr="000A345F">
              <w:rPr>
                <w:lang w:val="nl-NL"/>
              </w:rPr>
              <w:t>CV</w:t>
            </w:r>
            <w:proofErr w:type="gramEnd"/>
            <w:r w:rsidRPr="000A345F">
              <w:rPr>
                <w:lang w:val="nl-NL"/>
              </w:rPr>
              <w:t xml:space="preserve"> kan uitgeven. </w:t>
            </w:r>
          </w:p>
        </w:tc>
        <w:tc>
          <w:tcPr>
            <w:tcW w:w="5953" w:type="dxa"/>
            <w:shd w:val="clear" w:color="auto" w:fill="auto"/>
          </w:tcPr>
          <w:p w14:paraId="2F61FDEF" w14:textId="425620A0" w:rsidR="003818D2" w:rsidRPr="000A345F" w:rsidRDefault="000A345F" w:rsidP="000A345F">
            <w:pPr>
              <w:spacing w:after="0"/>
              <w:jc w:val="both"/>
              <w:rPr>
                <w:lang w:val="fr-FR"/>
              </w:rPr>
            </w:pPr>
            <w:r w:rsidRPr="000A345F">
              <w:rPr>
                <w:lang w:val="fr-FR"/>
              </w:rPr>
              <w:t xml:space="preserve">Le texte est une reprise conforme de l’article </w:t>
            </w:r>
            <w:proofErr w:type="gramStart"/>
            <w:r w:rsidRPr="000A345F">
              <w:rPr>
                <w:lang w:val="fr-FR"/>
              </w:rPr>
              <w:t>5:</w:t>
            </w:r>
            <w:proofErr w:type="gramEnd"/>
            <w:r w:rsidRPr="000A345F">
              <w:rPr>
                <w:lang w:val="fr-FR"/>
              </w:rPr>
              <w:t xml:space="preserve">92, adapté aux titres que peut émettre une SC. </w:t>
            </w:r>
          </w:p>
        </w:tc>
      </w:tr>
    </w:tbl>
    <w:p w14:paraId="7D38A028"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2CDEB" w14:textId="77777777" w:rsidR="006A60D3" w:rsidRDefault="006A60D3" w:rsidP="000D42B6">
      <w:pPr>
        <w:spacing w:after="0" w:line="240" w:lineRule="auto"/>
      </w:pPr>
      <w:r>
        <w:separator/>
      </w:r>
    </w:p>
  </w:endnote>
  <w:endnote w:type="continuationSeparator" w:id="0">
    <w:p w14:paraId="35EC9F77" w14:textId="77777777" w:rsidR="006A60D3" w:rsidRDefault="006A60D3"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DC1D1" w14:textId="77777777" w:rsidR="006A60D3" w:rsidRDefault="006A60D3" w:rsidP="000D42B6">
      <w:pPr>
        <w:spacing w:after="0" w:line="240" w:lineRule="auto"/>
      </w:pPr>
      <w:r>
        <w:separator/>
      </w:r>
    </w:p>
  </w:footnote>
  <w:footnote w:type="continuationSeparator" w:id="0">
    <w:p w14:paraId="599D54BC" w14:textId="77777777" w:rsidR="006A60D3" w:rsidRDefault="006A60D3"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6825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10452"/>
    <w:rsid w:val="00034AA1"/>
    <w:rsid w:val="00045500"/>
    <w:rsid w:val="00047A70"/>
    <w:rsid w:val="00053660"/>
    <w:rsid w:val="0006172F"/>
    <w:rsid w:val="000676A1"/>
    <w:rsid w:val="00077EBB"/>
    <w:rsid w:val="00083B1B"/>
    <w:rsid w:val="000923F2"/>
    <w:rsid w:val="000A345F"/>
    <w:rsid w:val="000B434D"/>
    <w:rsid w:val="000D42B6"/>
    <w:rsid w:val="00101EDC"/>
    <w:rsid w:val="00153A4F"/>
    <w:rsid w:val="001777AA"/>
    <w:rsid w:val="00183242"/>
    <w:rsid w:val="001A0A02"/>
    <w:rsid w:val="001C41B2"/>
    <w:rsid w:val="001C4D4C"/>
    <w:rsid w:val="001F6206"/>
    <w:rsid w:val="00200CB2"/>
    <w:rsid w:val="00202051"/>
    <w:rsid w:val="00266AFF"/>
    <w:rsid w:val="00272BA1"/>
    <w:rsid w:val="002B16AC"/>
    <w:rsid w:val="002E2C50"/>
    <w:rsid w:val="002F3F41"/>
    <w:rsid w:val="00300269"/>
    <w:rsid w:val="00311F1A"/>
    <w:rsid w:val="003818D2"/>
    <w:rsid w:val="00392D3D"/>
    <w:rsid w:val="00393BDA"/>
    <w:rsid w:val="003A6021"/>
    <w:rsid w:val="003B05A2"/>
    <w:rsid w:val="003B77F3"/>
    <w:rsid w:val="003D46FE"/>
    <w:rsid w:val="003D55CF"/>
    <w:rsid w:val="003F5AEA"/>
    <w:rsid w:val="004148F6"/>
    <w:rsid w:val="00416E43"/>
    <w:rsid w:val="00417C7D"/>
    <w:rsid w:val="00427696"/>
    <w:rsid w:val="00475FC8"/>
    <w:rsid w:val="00482090"/>
    <w:rsid w:val="00503582"/>
    <w:rsid w:val="00512C24"/>
    <w:rsid w:val="0052140A"/>
    <w:rsid w:val="005407B7"/>
    <w:rsid w:val="00552278"/>
    <w:rsid w:val="00560C08"/>
    <w:rsid w:val="0056512F"/>
    <w:rsid w:val="0057031D"/>
    <w:rsid w:val="005974AD"/>
    <w:rsid w:val="005A0621"/>
    <w:rsid w:val="005B33B1"/>
    <w:rsid w:val="006170A4"/>
    <w:rsid w:val="00630590"/>
    <w:rsid w:val="00642F57"/>
    <w:rsid w:val="006A60D3"/>
    <w:rsid w:val="006E22C9"/>
    <w:rsid w:val="006F2B94"/>
    <w:rsid w:val="007061E6"/>
    <w:rsid w:val="00750523"/>
    <w:rsid w:val="0078377D"/>
    <w:rsid w:val="007A6A5E"/>
    <w:rsid w:val="007B29A3"/>
    <w:rsid w:val="007D19C2"/>
    <w:rsid w:val="00871559"/>
    <w:rsid w:val="008849AC"/>
    <w:rsid w:val="00893CD7"/>
    <w:rsid w:val="00895F7A"/>
    <w:rsid w:val="008A299A"/>
    <w:rsid w:val="008B2F1F"/>
    <w:rsid w:val="008D169B"/>
    <w:rsid w:val="00916F5F"/>
    <w:rsid w:val="00950DFB"/>
    <w:rsid w:val="009662AF"/>
    <w:rsid w:val="00985EF6"/>
    <w:rsid w:val="0099503B"/>
    <w:rsid w:val="009A33B9"/>
    <w:rsid w:val="009D1831"/>
    <w:rsid w:val="00A41BE3"/>
    <w:rsid w:val="00A46D88"/>
    <w:rsid w:val="00A97687"/>
    <w:rsid w:val="00AE3CA5"/>
    <w:rsid w:val="00AE5EE8"/>
    <w:rsid w:val="00B0539A"/>
    <w:rsid w:val="00B1097D"/>
    <w:rsid w:val="00B2273C"/>
    <w:rsid w:val="00B53841"/>
    <w:rsid w:val="00BB0762"/>
    <w:rsid w:val="00BB0F3C"/>
    <w:rsid w:val="00C118F0"/>
    <w:rsid w:val="00C23A95"/>
    <w:rsid w:val="00C43011"/>
    <w:rsid w:val="00C64210"/>
    <w:rsid w:val="00CE1421"/>
    <w:rsid w:val="00D61286"/>
    <w:rsid w:val="00D9012C"/>
    <w:rsid w:val="00D96633"/>
    <w:rsid w:val="00DC54F2"/>
    <w:rsid w:val="00E17723"/>
    <w:rsid w:val="00E51E36"/>
    <w:rsid w:val="00E741D5"/>
    <w:rsid w:val="00E8314B"/>
    <w:rsid w:val="00EC7E26"/>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1E87"/>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0A345F"/>
    <w:pPr>
      <w:keepNext/>
      <w:keepLines/>
      <w:spacing w:before="240" w:after="0"/>
      <w:outlineLvl w:val="0"/>
    </w:pPr>
    <w:rPr>
      <w:rFonts w:eastAsiaTheme="majorEastAsia" w:cstheme="majorBidi"/>
      <w:color w:val="000000" w:themeColor="text1"/>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paragraph" w:styleId="Lijstalinea">
    <w:name w:val="List Paragraph"/>
    <w:basedOn w:val="Standaard"/>
    <w:uiPriority w:val="34"/>
    <w:qFormat/>
    <w:rsid w:val="00895F7A"/>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Teken">
    <w:name w:val="Kop 1 Teken"/>
    <w:basedOn w:val="Standaardalinea-lettertype"/>
    <w:link w:val="Kop1"/>
    <w:uiPriority w:val="9"/>
    <w:rsid w:val="000A345F"/>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0A34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90A14-6CE0-4548-808C-924EF5D3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1081</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91</cp:revision>
  <dcterms:created xsi:type="dcterms:W3CDTF">2019-10-18T10:25:00Z</dcterms:created>
  <dcterms:modified xsi:type="dcterms:W3CDTF">2021-10-05T20:03:00Z</dcterms:modified>
</cp:coreProperties>
</file>