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ED7CE15" w14:textId="77777777" w:rsidTr="00E17723">
        <w:tc>
          <w:tcPr>
            <w:tcW w:w="1980" w:type="dxa"/>
          </w:tcPr>
          <w:p w14:paraId="6D4FF0B7" w14:textId="77777777" w:rsidR="000D42B6" w:rsidRPr="00B07AC9" w:rsidRDefault="000D42B6" w:rsidP="009257B0">
            <w:pPr>
              <w:rPr>
                <w:b/>
                <w:sz w:val="32"/>
                <w:szCs w:val="32"/>
                <w:lang w:val="nl-BE"/>
              </w:rPr>
            </w:pPr>
            <w:r w:rsidRPr="00B07AC9">
              <w:rPr>
                <w:b/>
                <w:sz w:val="32"/>
                <w:szCs w:val="32"/>
                <w:lang w:val="nl-BE"/>
              </w:rPr>
              <w:t xml:space="preserve">ARTIKEL </w:t>
            </w:r>
            <w:r w:rsidR="0044028C">
              <w:rPr>
                <w:b/>
                <w:sz w:val="32"/>
                <w:szCs w:val="32"/>
                <w:lang w:val="nl-BE"/>
              </w:rPr>
              <w:t>6:82</w:t>
            </w:r>
          </w:p>
        </w:tc>
        <w:tc>
          <w:tcPr>
            <w:tcW w:w="11765" w:type="dxa"/>
            <w:gridSpan w:val="2"/>
            <w:shd w:val="clear" w:color="auto" w:fill="auto"/>
          </w:tcPr>
          <w:p w14:paraId="2ED28F7F" w14:textId="77777777" w:rsidR="000D42B6" w:rsidRPr="00382324" w:rsidRDefault="000D42B6" w:rsidP="009257B0">
            <w:pPr>
              <w:rPr>
                <w:rFonts w:asciiTheme="majorHAnsi" w:eastAsiaTheme="majorEastAsia" w:hAnsiTheme="majorHAnsi" w:cstheme="majorBidi"/>
                <w:b/>
                <w:bCs/>
                <w:color w:val="2E74B5" w:themeColor="accent1" w:themeShade="BF"/>
                <w:sz w:val="32"/>
                <w:szCs w:val="28"/>
                <w:lang w:val="nl-BE"/>
              </w:rPr>
            </w:pPr>
          </w:p>
        </w:tc>
      </w:tr>
      <w:tr w:rsidR="003E087C" w:rsidRPr="00CE5529" w14:paraId="0FAC5EDB" w14:textId="77777777" w:rsidTr="00446510">
        <w:tc>
          <w:tcPr>
            <w:tcW w:w="13745" w:type="dxa"/>
            <w:gridSpan w:val="3"/>
          </w:tcPr>
          <w:p w14:paraId="1809D865" w14:textId="77777777" w:rsidR="003E087C" w:rsidRDefault="003E087C" w:rsidP="003E087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CBF4939" w14:textId="77777777" w:rsidR="003E087C" w:rsidRDefault="003E087C" w:rsidP="003E087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168E1D4" w14:textId="77777777" w:rsidR="003E087C" w:rsidRPr="003E087C" w:rsidRDefault="003E087C" w:rsidP="003E087C">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E5529" w14:paraId="49BBA6FD" w14:textId="77777777" w:rsidTr="00E17723">
        <w:tc>
          <w:tcPr>
            <w:tcW w:w="1980" w:type="dxa"/>
          </w:tcPr>
          <w:p w14:paraId="62BFAD0E" w14:textId="77777777" w:rsidR="005B33B1" w:rsidRPr="00B07AC9" w:rsidRDefault="005B33B1" w:rsidP="009257B0">
            <w:pPr>
              <w:rPr>
                <w:b/>
                <w:sz w:val="32"/>
                <w:szCs w:val="32"/>
                <w:lang w:val="nl-BE"/>
              </w:rPr>
            </w:pPr>
          </w:p>
        </w:tc>
        <w:tc>
          <w:tcPr>
            <w:tcW w:w="11765" w:type="dxa"/>
            <w:gridSpan w:val="2"/>
            <w:shd w:val="clear" w:color="auto" w:fill="auto"/>
          </w:tcPr>
          <w:p w14:paraId="6E5EE672" w14:textId="77777777" w:rsidR="005B33B1" w:rsidRPr="00382324" w:rsidRDefault="005B33B1" w:rsidP="009257B0">
            <w:pPr>
              <w:rPr>
                <w:rFonts w:asciiTheme="majorHAnsi" w:eastAsiaTheme="majorEastAsia" w:hAnsiTheme="majorHAnsi" w:cstheme="majorBidi"/>
                <w:b/>
                <w:bCs/>
                <w:color w:val="2E74B5" w:themeColor="accent1" w:themeShade="BF"/>
                <w:sz w:val="32"/>
                <w:szCs w:val="28"/>
                <w:lang w:val="nl-BE"/>
              </w:rPr>
            </w:pPr>
          </w:p>
        </w:tc>
      </w:tr>
      <w:tr w:rsidR="0044028C" w:rsidRPr="009257B0" w14:paraId="75FA4E94" w14:textId="77777777" w:rsidTr="00F81724">
        <w:trPr>
          <w:trHeight w:val="803"/>
        </w:trPr>
        <w:tc>
          <w:tcPr>
            <w:tcW w:w="1980" w:type="dxa"/>
          </w:tcPr>
          <w:p w14:paraId="3F021040" w14:textId="77777777" w:rsidR="0044028C" w:rsidRDefault="0044028C" w:rsidP="009257B0">
            <w:pPr>
              <w:spacing w:after="0" w:line="240" w:lineRule="auto"/>
              <w:jc w:val="both"/>
              <w:rPr>
                <w:rFonts w:cs="Calibri"/>
                <w:lang w:val="nl-BE"/>
              </w:rPr>
            </w:pPr>
            <w:r>
              <w:rPr>
                <w:rFonts w:cs="Calibri"/>
                <w:lang w:val="nl-BE"/>
              </w:rPr>
              <w:t>WVV</w:t>
            </w:r>
          </w:p>
        </w:tc>
        <w:tc>
          <w:tcPr>
            <w:tcW w:w="5812" w:type="dxa"/>
            <w:shd w:val="clear" w:color="auto" w:fill="auto"/>
          </w:tcPr>
          <w:p w14:paraId="4D364702" w14:textId="002D6FCB" w:rsidR="0044028C" w:rsidRPr="00CA48E6" w:rsidRDefault="00CA48E6" w:rsidP="009257B0">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44028C" w:rsidRPr="00CA48E6">
              <w:rPr>
                <w:rStyle w:val="Hyperlink"/>
                <w:rFonts w:cstheme="minorHAnsi"/>
                <w:lang w:val="nl-NL"/>
              </w:rPr>
              <w:t>Vijftien dagen vóór de algemene vergadering mogen de aandeelhouders kennisnemen van:</w:t>
            </w:r>
          </w:p>
          <w:p w14:paraId="364EF6D0" w14:textId="77777777" w:rsidR="0044028C" w:rsidRPr="00CA48E6" w:rsidRDefault="0044028C" w:rsidP="009257B0">
            <w:pPr>
              <w:pStyle w:val="Geenafstand"/>
              <w:jc w:val="both"/>
              <w:rPr>
                <w:rStyle w:val="Hyperlink"/>
                <w:rFonts w:cstheme="minorHAnsi"/>
                <w:lang w:val="nl-NL"/>
              </w:rPr>
            </w:pPr>
          </w:p>
          <w:p w14:paraId="0E5F504C" w14:textId="77777777" w:rsidR="0044028C" w:rsidRPr="00CA48E6" w:rsidRDefault="0044028C" w:rsidP="009257B0">
            <w:pPr>
              <w:pStyle w:val="Geenafstand"/>
              <w:jc w:val="both"/>
              <w:rPr>
                <w:rStyle w:val="Hyperlink"/>
                <w:rFonts w:cstheme="minorHAnsi"/>
                <w:lang w:val="nl-NL"/>
              </w:rPr>
            </w:pPr>
            <w:r w:rsidRPr="00CA48E6">
              <w:rPr>
                <w:rStyle w:val="Hyperlink"/>
                <w:rFonts w:cstheme="minorHAnsi"/>
                <w:lang w:val="nl-NL"/>
              </w:rPr>
              <w:t>1° de jaarrekening;</w:t>
            </w:r>
          </w:p>
          <w:p w14:paraId="79983911" w14:textId="77777777" w:rsidR="0044028C" w:rsidRPr="00CA48E6" w:rsidRDefault="0044028C" w:rsidP="009257B0">
            <w:pPr>
              <w:pStyle w:val="Geenafstand"/>
              <w:jc w:val="both"/>
              <w:rPr>
                <w:rStyle w:val="Hyperlink"/>
                <w:rFonts w:cstheme="minorHAnsi"/>
                <w:lang w:val="nl-NL"/>
              </w:rPr>
            </w:pPr>
          </w:p>
          <w:p w14:paraId="5FD229A0" w14:textId="77777777" w:rsidR="0044028C" w:rsidRPr="00CA48E6" w:rsidRDefault="0044028C" w:rsidP="009257B0">
            <w:pPr>
              <w:pStyle w:val="Geenafstand"/>
              <w:jc w:val="both"/>
              <w:rPr>
                <w:rStyle w:val="Hyperlink"/>
                <w:rFonts w:cstheme="minorHAnsi"/>
                <w:lang w:val="nl-NL"/>
              </w:rPr>
            </w:pPr>
            <w:r w:rsidRPr="00CA48E6">
              <w:rPr>
                <w:rStyle w:val="Hyperlink"/>
                <w:rFonts w:cstheme="minorHAnsi"/>
                <w:lang w:val="nl-NL"/>
              </w:rPr>
              <w:t>2° in voorkomend geval, de geconsolideerde jaarrekening;</w:t>
            </w:r>
          </w:p>
          <w:p w14:paraId="1C93C10F" w14:textId="77777777" w:rsidR="0044028C" w:rsidRPr="00CA48E6" w:rsidRDefault="0044028C" w:rsidP="009257B0">
            <w:pPr>
              <w:pStyle w:val="Geenafstand"/>
              <w:jc w:val="both"/>
              <w:rPr>
                <w:rStyle w:val="Hyperlink"/>
                <w:rFonts w:cstheme="minorHAnsi"/>
                <w:lang w:val="nl-NL"/>
              </w:rPr>
            </w:pPr>
          </w:p>
          <w:p w14:paraId="6B621F6F" w14:textId="77777777" w:rsidR="0044028C" w:rsidRPr="00CA48E6" w:rsidRDefault="0044028C" w:rsidP="009257B0">
            <w:pPr>
              <w:pStyle w:val="Geenafstand"/>
              <w:jc w:val="both"/>
              <w:rPr>
                <w:rStyle w:val="Hyperlink"/>
                <w:rFonts w:cstheme="minorHAnsi"/>
                <w:lang w:val="nl-NL"/>
              </w:rPr>
            </w:pPr>
            <w:r w:rsidRPr="00CA48E6">
              <w:rPr>
                <w:rStyle w:val="Hyperlink"/>
                <w:rFonts w:cstheme="minorHAnsi"/>
                <w:lang w:val="nl-NL"/>
              </w:rPr>
              <w:t>3° de lijst van de aandeelhouders die hun aandelen niet hebben volgestort, met vermelding van het aantal niet-volgestorte aandelen en van hun woonplaats;</w:t>
            </w:r>
          </w:p>
          <w:p w14:paraId="2E5CCE00" w14:textId="77777777" w:rsidR="0044028C" w:rsidRPr="00CA48E6" w:rsidRDefault="0044028C" w:rsidP="009257B0">
            <w:pPr>
              <w:pStyle w:val="Geenafstand"/>
              <w:jc w:val="both"/>
              <w:rPr>
                <w:rStyle w:val="Hyperlink"/>
                <w:rFonts w:cstheme="minorHAnsi"/>
                <w:lang w:val="nl-NL"/>
              </w:rPr>
            </w:pPr>
          </w:p>
          <w:p w14:paraId="3957A666" w14:textId="77777777" w:rsidR="0044028C" w:rsidRPr="00CA48E6" w:rsidRDefault="0044028C" w:rsidP="009257B0">
            <w:pPr>
              <w:pStyle w:val="Geenafstand"/>
              <w:jc w:val="both"/>
              <w:rPr>
                <w:rStyle w:val="Hyperlink"/>
                <w:rFonts w:cstheme="minorHAnsi"/>
                <w:lang w:val="nl-NL"/>
              </w:rPr>
            </w:pPr>
            <w:r w:rsidRPr="00CA48E6">
              <w:rPr>
                <w:rStyle w:val="Hyperlink"/>
                <w:rFonts w:cstheme="minorHAnsi"/>
                <w:lang w:val="nl-NL"/>
              </w:rPr>
              <w:t>4° in voorkomend geval, het jaarverslag, het jaarverslag over de geconsolideerde jaarrekening, het verslag van de commissaris en de andere verslagen die dit wetboek voorschrijft.</w:t>
            </w:r>
          </w:p>
          <w:p w14:paraId="72976D12" w14:textId="77777777" w:rsidR="0044028C" w:rsidRPr="00CA48E6" w:rsidRDefault="0044028C" w:rsidP="009257B0">
            <w:pPr>
              <w:pStyle w:val="Geenafstand"/>
              <w:jc w:val="both"/>
              <w:rPr>
                <w:rStyle w:val="Hyperlink"/>
                <w:rFonts w:cstheme="minorHAnsi"/>
                <w:lang w:val="nl-NL"/>
              </w:rPr>
            </w:pPr>
          </w:p>
          <w:p w14:paraId="36403976" w14:textId="49663E44" w:rsidR="0044028C" w:rsidRPr="00D41C14" w:rsidRDefault="0044028C" w:rsidP="009257B0">
            <w:pPr>
              <w:pStyle w:val="Geenafstand"/>
              <w:jc w:val="both"/>
              <w:rPr>
                <w:rFonts w:cstheme="minorHAnsi"/>
                <w:lang w:val="nl-NL"/>
              </w:rPr>
            </w:pPr>
            <w:r w:rsidRPr="00CA48E6">
              <w:rPr>
                <w:rStyle w:val="Hyperlink"/>
                <w:rFonts w:cstheme="minorHAnsi"/>
                <w:lang w:val="nl-NL"/>
              </w:rPr>
              <w:t>Deze informatie, evenals de informatie die overeenkomstig artikel 3:12 wordt neergelegd bij de Nationale Bank van België, worden meegedeeld aan de betrokken aandeelhouders, leden van het bestuursorgaan en, in voorkomend geval, de commissaris overeenkomstig artikel 6:70, § 2.</w:t>
            </w:r>
            <w:r w:rsidR="00CA48E6">
              <w:rPr>
                <w:rFonts w:cstheme="minorHAnsi"/>
                <w:lang w:val="nl-NL"/>
              </w:rPr>
              <w:fldChar w:fldCharType="end"/>
            </w:r>
          </w:p>
        </w:tc>
        <w:tc>
          <w:tcPr>
            <w:tcW w:w="5953" w:type="dxa"/>
            <w:shd w:val="clear" w:color="auto" w:fill="auto"/>
          </w:tcPr>
          <w:p w14:paraId="58E92953" w14:textId="5DAFD83B" w:rsidR="0044028C" w:rsidRPr="00CA48E6" w:rsidRDefault="00CA48E6" w:rsidP="009257B0">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44028C" w:rsidRPr="00CA48E6">
              <w:rPr>
                <w:rStyle w:val="Hyperlink"/>
                <w:rFonts w:cstheme="minorHAnsi"/>
                <w:lang w:val="fr-BE"/>
              </w:rPr>
              <w:t>Quinze jours avant l’assemblée générale, les actionnaires peuvent prendre connaissance:</w:t>
            </w:r>
          </w:p>
          <w:p w14:paraId="03E33D9B" w14:textId="77777777" w:rsidR="0044028C" w:rsidRPr="00CA48E6" w:rsidRDefault="0044028C" w:rsidP="009257B0">
            <w:pPr>
              <w:pStyle w:val="Geenafstand"/>
              <w:jc w:val="both"/>
              <w:rPr>
                <w:rStyle w:val="Hyperlink"/>
                <w:rFonts w:cstheme="minorHAnsi"/>
                <w:lang w:val="fr-BE"/>
              </w:rPr>
            </w:pPr>
          </w:p>
          <w:p w14:paraId="3FBF1EBA" w14:textId="77777777" w:rsidR="0044028C" w:rsidRPr="00CA48E6" w:rsidRDefault="0044028C" w:rsidP="009257B0">
            <w:pPr>
              <w:pStyle w:val="Geenafstand"/>
              <w:jc w:val="both"/>
              <w:rPr>
                <w:rStyle w:val="Hyperlink"/>
                <w:rFonts w:cstheme="minorHAnsi"/>
                <w:lang w:val="fr-BE"/>
              </w:rPr>
            </w:pPr>
            <w:r w:rsidRPr="00CA48E6">
              <w:rPr>
                <w:rStyle w:val="Hyperlink"/>
                <w:rFonts w:cstheme="minorHAnsi"/>
                <w:lang w:val="fr-BE"/>
              </w:rPr>
              <w:t>1° des comptes annuels;</w:t>
            </w:r>
          </w:p>
          <w:p w14:paraId="220AA0FC" w14:textId="77777777" w:rsidR="0044028C" w:rsidRPr="00CA48E6" w:rsidRDefault="0044028C" w:rsidP="009257B0">
            <w:pPr>
              <w:pStyle w:val="Geenafstand"/>
              <w:jc w:val="both"/>
              <w:rPr>
                <w:rStyle w:val="Hyperlink"/>
                <w:rFonts w:cstheme="minorHAnsi"/>
                <w:lang w:val="fr-BE"/>
              </w:rPr>
            </w:pPr>
          </w:p>
          <w:p w14:paraId="0CCEAE1B" w14:textId="77777777" w:rsidR="0044028C" w:rsidRPr="00CA48E6" w:rsidRDefault="0044028C" w:rsidP="009257B0">
            <w:pPr>
              <w:pStyle w:val="Geenafstand"/>
              <w:jc w:val="both"/>
              <w:rPr>
                <w:rStyle w:val="Hyperlink"/>
                <w:rFonts w:cstheme="minorHAnsi"/>
                <w:lang w:val="fr-BE"/>
              </w:rPr>
            </w:pPr>
            <w:r w:rsidRPr="00CA48E6">
              <w:rPr>
                <w:rStyle w:val="Hyperlink"/>
                <w:rFonts w:cstheme="minorHAnsi"/>
                <w:lang w:val="fr-BE"/>
              </w:rPr>
              <w:t>2° le cas échéant, des comptes consolidés;</w:t>
            </w:r>
          </w:p>
          <w:p w14:paraId="6FF9EB04" w14:textId="77777777" w:rsidR="0044028C" w:rsidRPr="00CA48E6" w:rsidRDefault="0044028C" w:rsidP="009257B0">
            <w:pPr>
              <w:spacing w:after="0" w:line="240" w:lineRule="auto"/>
              <w:jc w:val="both"/>
              <w:rPr>
                <w:rStyle w:val="Hyperlink"/>
                <w:rFonts w:cstheme="minorHAnsi"/>
                <w:lang w:val="fr-BE"/>
              </w:rPr>
            </w:pPr>
          </w:p>
          <w:p w14:paraId="61B9F4E8" w14:textId="77777777" w:rsidR="0044028C" w:rsidRPr="00CA48E6" w:rsidRDefault="0044028C" w:rsidP="009257B0">
            <w:pPr>
              <w:pStyle w:val="Geenafstand"/>
              <w:jc w:val="both"/>
              <w:rPr>
                <w:rStyle w:val="Hyperlink"/>
                <w:rFonts w:cstheme="minorHAnsi"/>
                <w:lang w:val="fr-BE"/>
              </w:rPr>
            </w:pPr>
            <w:r w:rsidRPr="00CA48E6">
              <w:rPr>
                <w:rStyle w:val="Hyperlink"/>
                <w:rFonts w:cstheme="minorHAnsi"/>
                <w:lang w:val="fr-BE"/>
              </w:rPr>
              <w:t>3° de la liste des actionnaires qui n’ont pas libéré leurs actions, avec l’indication du nombre d’actions non libérées et celle de leur domicile;</w:t>
            </w:r>
          </w:p>
          <w:p w14:paraId="35F55D3F" w14:textId="77777777" w:rsidR="0044028C" w:rsidRPr="00CA48E6" w:rsidRDefault="0044028C" w:rsidP="009257B0">
            <w:pPr>
              <w:spacing w:after="0" w:line="240" w:lineRule="auto"/>
              <w:jc w:val="both"/>
              <w:rPr>
                <w:rStyle w:val="Hyperlink"/>
                <w:rFonts w:cstheme="minorHAnsi"/>
                <w:lang w:val="fr-BE"/>
              </w:rPr>
            </w:pPr>
          </w:p>
          <w:p w14:paraId="2107021F" w14:textId="77777777" w:rsidR="0044028C" w:rsidRPr="00CA48E6" w:rsidRDefault="0044028C" w:rsidP="009257B0">
            <w:pPr>
              <w:pStyle w:val="Geenafstand"/>
              <w:jc w:val="both"/>
              <w:rPr>
                <w:rStyle w:val="Hyperlink"/>
                <w:rFonts w:cstheme="minorHAnsi"/>
                <w:lang w:val="fr-BE"/>
              </w:rPr>
            </w:pPr>
            <w:r w:rsidRPr="00CA48E6">
              <w:rPr>
                <w:rStyle w:val="Hyperlink"/>
                <w:rFonts w:cstheme="minorHAnsi"/>
                <w:lang w:val="fr-BE"/>
              </w:rPr>
              <w:t>4° le cas échéant, du rapport de gestion, du rapport de gestion sur les comptes consolidés, du rapport du commissaire et des autres rapports prescrits par le présent code.</w:t>
            </w:r>
          </w:p>
          <w:p w14:paraId="24E916A3" w14:textId="77777777" w:rsidR="0044028C" w:rsidRPr="00CA48E6" w:rsidRDefault="0044028C" w:rsidP="009257B0">
            <w:pPr>
              <w:pStyle w:val="Geenafstand"/>
              <w:jc w:val="both"/>
              <w:rPr>
                <w:rStyle w:val="Hyperlink"/>
                <w:rFonts w:cstheme="minorHAnsi"/>
                <w:lang w:val="fr-BE"/>
              </w:rPr>
            </w:pPr>
          </w:p>
          <w:p w14:paraId="1D16279C" w14:textId="1CB62EBF" w:rsidR="0044028C" w:rsidRPr="00A93D4E" w:rsidRDefault="0044028C" w:rsidP="009257B0">
            <w:pPr>
              <w:spacing w:after="0" w:line="240" w:lineRule="auto"/>
              <w:jc w:val="both"/>
              <w:rPr>
                <w:rFonts w:cstheme="minorHAnsi"/>
                <w:lang w:val="fr-BE"/>
              </w:rPr>
            </w:pPr>
            <w:r w:rsidRPr="00CA48E6">
              <w:rPr>
                <w:rStyle w:val="Hyperlink"/>
                <w:rFonts w:cstheme="minorHAnsi"/>
                <w:lang w:val="fr-BE"/>
              </w:rPr>
              <w:t>Ces informations, ainsi que les informations déposées auprès de la Banque nationale de Belgique conformément à l’article 3:12, sont communiquées aux actionnaires, aux membres de l’organe d’administration et, le cas échéant, au commissaire conformément à l’article 6:70, § 2.</w:t>
            </w:r>
            <w:r w:rsidR="00CA48E6">
              <w:rPr>
                <w:rFonts w:cstheme="minorHAnsi"/>
                <w:lang w:val="fr-BE"/>
              </w:rPr>
              <w:fldChar w:fldCharType="end"/>
            </w:r>
            <w:bookmarkStart w:id="0" w:name="_GoBack"/>
            <w:bookmarkEnd w:id="0"/>
          </w:p>
        </w:tc>
      </w:tr>
      <w:tr w:rsidR="00B054F7" w:rsidRPr="009257B0" w14:paraId="365A172A" w14:textId="77777777" w:rsidTr="00B054F7">
        <w:trPr>
          <w:trHeight w:val="353"/>
        </w:trPr>
        <w:tc>
          <w:tcPr>
            <w:tcW w:w="1980" w:type="dxa"/>
          </w:tcPr>
          <w:p w14:paraId="054F89CC" w14:textId="6380756A" w:rsidR="00B054F7" w:rsidRDefault="00B054F7" w:rsidP="009257B0">
            <w:pPr>
              <w:spacing w:after="0" w:line="240" w:lineRule="auto"/>
              <w:jc w:val="both"/>
              <w:rPr>
                <w:rFonts w:cs="Calibri"/>
                <w:lang w:val="nl-BE"/>
              </w:rPr>
            </w:pPr>
            <w:proofErr w:type="spellStart"/>
            <w:r w:rsidRPr="00863E84">
              <w:t>Ontwerp</w:t>
            </w:r>
            <w:proofErr w:type="spellEnd"/>
          </w:p>
        </w:tc>
        <w:tc>
          <w:tcPr>
            <w:tcW w:w="5812" w:type="dxa"/>
            <w:shd w:val="clear" w:color="auto" w:fill="auto"/>
          </w:tcPr>
          <w:p w14:paraId="576608DC" w14:textId="5225455D" w:rsidR="00B054F7" w:rsidRPr="00D41C14" w:rsidRDefault="00B054F7" w:rsidP="009257B0">
            <w:pPr>
              <w:spacing w:after="0" w:line="240" w:lineRule="auto"/>
              <w:jc w:val="both"/>
              <w:rPr>
                <w:rFonts w:cstheme="minorHAnsi"/>
                <w:lang w:val="nl-NL"/>
              </w:rPr>
            </w:pPr>
            <w:proofErr w:type="spellStart"/>
            <w:r w:rsidRPr="00863E84">
              <w:t>Geen</w:t>
            </w:r>
            <w:proofErr w:type="spellEnd"/>
            <w:r w:rsidRPr="00863E84">
              <w:t xml:space="preserve"> </w:t>
            </w:r>
            <w:proofErr w:type="spellStart"/>
            <w:r w:rsidRPr="00863E84">
              <w:t>artikel</w:t>
            </w:r>
            <w:proofErr w:type="spellEnd"/>
            <w:r>
              <w:t>.</w:t>
            </w:r>
          </w:p>
        </w:tc>
        <w:tc>
          <w:tcPr>
            <w:tcW w:w="5953" w:type="dxa"/>
            <w:shd w:val="clear" w:color="auto" w:fill="auto"/>
          </w:tcPr>
          <w:p w14:paraId="006ED125" w14:textId="7AE2E32A" w:rsidR="00B054F7" w:rsidRPr="00D41C14" w:rsidRDefault="00B054F7" w:rsidP="009257B0">
            <w:pPr>
              <w:spacing w:after="0" w:line="240" w:lineRule="auto"/>
              <w:jc w:val="both"/>
              <w:rPr>
                <w:rFonts w:cstheme="minorHAnsi"/>
                <w:lang w:val="fr-BE"/>
              </w:rPr>
            </w:pPr>
            <w:r>
              <w:t xml:space="preserve">Pas </w:t>
            </w:r>
            <w:proofErr w:type="spellStart"/>
            <w:r>
              <w:t>d’article</w:t>
            </w:r>
            <w:proofErr w:type="spellEnd"/>
            <w:r>
              <w:t>.</w:t>
            </w:r>
          </w:p>
        </w:tc>
      </w:tr>
      <w:tr w:rsidR="00B054F7" w:rsidRPr="00255AFF" w14:paraId="7E3774BB" w14:textId="77777777" w:rsidTr="00F81724">
        <w:trPr>
          <w:trHeight w:val="369"/>
        </w:trPr>
        <w:tc>
          <w:tcPr>
            <w:tcW w:w="1980" w:type="dxa"/>
          </w:tcPr>
          <w:p w14:paraId="1EA58BD6" w14:textId="77777777" w:rsidR="00B054F7" w:rsidRPr="00255AFF" w:rsidRDefault="00B054F7" w:rsidP="009257B0">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FF26530" w14:textId="77777777" w:rsidR="00B054F7" w:rsidRPr="00255AFF" w:rsidRDefault="00B054F7" w:rsidP="009257B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120B11D" w14:textId="77777777" w:rsidR="00B054F7" w:rsidRPr="00D41C14" w:rsidRDefault="00B054F7" w:rsidP="009257B0">
            <w:pPr>
              <w:spacing w:after="0" w:line="240" w:lineRule="auto"/>
              <w:jc w:val="both"/>
              <w:rPr>
                <w:rFonts w:cstheme="minorHAnsi"/>
                <w:lang w:val="fr-BE"/>
              </w:rPr>
            </w:pPr>
            <w:r>
              <w:rPr>
                <w:rFonts w:cstheme="minorHAnsi"/>
                <w:lang w:val="fr-BE"/>
              </w:rPr>
              <w:t>Pas d’article.</w:t>
            </w:r>
          </w:p>
        </w:tc>
      </w:tr>
      <w:tr w:rsidR="00B054F7" w:rsidRPr="00255AFF" w14:paraId="074368A9" w14:textId="77777777" w:rsidTr="009257B0">
        <w:trPr>
          <w:trHeight w:val="423"/>
        </w:trPr>
        <w:tc>
          <w:tcPr>
            <w:tcW w:w="1980" w:type="dxa"/>
          </w:tcPr>
          <w:p w14:paraId="42CE442A" w14:textId="77777777" w:rsidR="00B054F7" w:rsidRPr="00863E84" w:rsidRDefault="00B054F7" w:rsidP="009257B0">
            <w:pPr>
              <w:spacing w:after="0"/>
            </w:pPr>
            <w:proofErr w:type="spellStart"/>
            <w:r>
              <w:t>MvT</w:t>
            </w:r>
            <w:proofErr w:type="spellEnd"/>
          </w:p>
        </w:tc>
        <w:tc>
          <w:tcPr>
            <w:tcW w:w="5812" w:type="dxa"/>
            <w:shd w:val="clear" w:color="auto" w:fill="auto"/>
          </w:tcPr>
          <w:p w14:paraId="7E19E2AF" w14:textId="77777777" w:rsidR="00B054F7" w:rsidRPr="00063E4F" w:rsidRDefault="00B054F7" w:rsidP="009257B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21A5533" w14:textId="77777777" w:rsidR="00B054F7" w:rsidRPr="00063E4F" w:rsidRDefault="00B054F7" w:rsidP="009257B0">
            <w:pPr>
              <w:spacing w:after="0"/>
            </w:pPr>
            <w:r>
              <w:t xml:space="preserve">Pas de </w:t>
            </w:r>
            <w:proofErr w:type="spellStart"/>
            <w:r>
              <w:t>remarques</w:t>
            </w:r>
            <w:proofErr w:type="spellEnd"/>
            <w:r>
              <w:t>.</w:t>
            </w:r>
          </w:p>
        </w:tc>
      </w:tr>
      <w:tr w:rsidR="00B054F7" w:rsidRPr="00255AFF" w14:paraId="4A5C4E32" w14:textId="77777777" w:rsidTr="00F81724">
        <w:trPr>
          <w:trHeight w:val="375"/>
        </w:trPr>
        <w:tc>
          <w:tcPr>
            <w:tcW w:w="1980" w:type="dxa"/>
          </w:tcPr>
          <w:p w14:paraId="4012DAC9" w14:textId="77777777" w:rsidR="00B054F7" w:rsidRPr="00863E84" w:rsidRDefault="00B054F7" w:rsidP="009257B0">
            <w:pPr>
              <w:spacing w:after="0"/>
            </w:pPr>
            <w:proofErr w:type="spellStart"/>
            <w:r>
              <w:lastRenderedPageBreak/>
              <w:t>RvSt</w:t>
            </w:r>
            <w:proofErr w:type="spellEnd"/>
          </w:p>
        </w:tc>
        <w:tc>
          <w:tcPr>
            <w:tcW w:w="5812" w:type="dxa"/>
            <w:shd w:val="clear" w:color="auto" w:fill="auto"/>
          </w:tcPr>
          <w:p w14:paraId="2E601E1F" w14:textId="77777777" w:rsidR="00B054F7" w:rsidRPr="00063E4F" w:rsidRDefault="00B054F7" w:rsidP="009257B0">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8706194" w14:textId="77777777" w:rsidR="00B054F7" w:rsidRPr="00063E4F" w:rsidRDefault="00B054F7" w:rsidP="009257B0">
            <w:pPr>
              <w:spacing w:after="0"/>
            </w:pPr>
            <w:r>
              <w:t xml:space="preserve">Pas de </w:t>
            </w:r>
            <w:proofErr w:type="spellStart"/>
            <w:r>
              <w:t>remarques</w:t>
            </w:r>
            <w:proofErr w:type="spellEnd"/>
            <w:r>
              <w:t>.</w:t>
            </w:r>
          </w:p>
        </w:tc>
      </w:tr>
      <w:tr w:rsidR="00CE5529" w:rsidRPr="00CA48E6" w14:paraId="1BE2ACB4" w14:textId="77777777" w:rsidTr="00F81724">
        <w:trPr>
          <w:trHeight w:val="375"/>
        </w:trPr>
        <w:tc>
          <w:tcPr>
            <w:tcW w:w="1980" w:type="dxa"/>
          </w:tcPr>
          <w:p w14:paraId="77A69E1C" w14:textId="620842F1" w:rsidR="00CE5529" w:rsidRDefault="00CE5529" w:rsidP="00CA48E6">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E0C820C" w14:textId="582BCB60" w:rsidR="00CE5529" w:rsidRPr="00BF4329" w:rsidRDefault="00BF4329" w:rsidP="00BF4329">
            <w:pPr>
              <w:spacing w:after="0"/>
              <w:jc w:val="both"/>
              <w:rPr>
                <w:lang w:val="nl-NL"/>
              </w:rPr>
            </w:pPr>
            <w:r w:rsidRPr="00BF4329">
              <w:rPr>
                <w:lang w:val="nl-NL"/>
              </w:rPr>
              <w:t xml:space="preserve">De tekst is een overeenkomstige herneming van artikel 5:97, aangepast aan de effecten die een </w:t>
            </w:r>
            <w:proofErr w:type="gramStart"/>
            <w:r w:rsidRPr="00BF4329">
              <w:rPr>
                <w:lang w:val="nl-NL"/>
              </w:rPr>
              <w:t>CV</w:t>
            </w:r>
            <w:proofErr w:type="gramEnd"/>
            <w:r w:rsidRPr="00BF4329">
              <w:rPr>
                <w:lang w:val="nl-NL"/>
              </w:rPr>
              <w:t xml:space="preserve"> kan uitgeven. </w:t>
            </w:r>
          </w:p>
        </w:tc>
        <w:tc>
          <w:tcPr>
            <w:tcW w:w="5953" w:type="dxa"/>
            <w:shd w:val="clear" w:color="auto" w:fill="auto"/>
          </w:tcPr>
          <w:p w14:paraId="50E5D329" w14:textId="0DCF6824" w:rsidR="00CE5529" w:rsidRPr="00CA48E6" w:rsidRDefault="00CA48E6" w:rsidP="009257B0">
            <w:pPr>
              <w:spacing w:after="0"/>
              <w:rPr>
                <w:lang w:val="fr-FR"/>
              </w:rPr>
            </w:pPr>
            <w:r w:rsidRPr="00CA48E6">
              <w:rPr>
                <w:lang w:val="fr-FR"/>
              </w:rPr>
              <w:t xml:space="preserve">Le texte est une reprise conforme de l’article </w:t>
            </w:r>
            <w:proofErr w:type="gramStart"/>
            <w:r w:rsidRPr="00CA48E6">
              <w:rPr>
                <w:lang w:val="fr-FR"/>
              </w:rPr>
              <w:t>5:</w:t>
            </w:r>
            <w:proofErr w:type="gramEnd"/>
            <w:r w:rsidRPr="00CA48E6">
              <w:rPr>
                <w:lang w:val="fr-FR"/>
              </w:rPr>
              <w:t>97, adapté aux titres que peut émettre une SC.</w:t>
            </w:r>
          </w:p>
        </w:tc>
      </w:tr>
    </w:tbl>
    <w:p w14:paraId="5230AF6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808B" w14:textId="77777777" w:rsidR="00FD7483" w:rsidRDefault="00FD7483" w:rsidP="000D42B6">
      <w:pPr>
        <w:spacing w:after="0" w:line="240" w:lineRule="auto"/>
      </w:pPr>
      <w:r>
        <w:separator/>
      </w:r>
    </w:p>
  </w:endnote>
  <w:endnote w:type="continuationSeparator" w:id="0">
    <w:p w14:paraId="07182050" w14:textId="77777777" w:rsidR="00FD7483" w:rsidRDefault="00FD748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1D2F" w14:textId="77777777" w:rsidR="00FD7483" w:rsidRDefault="00FD7483" w:rsidP="000D42B6">
      <w:pPr>
        <w:spacing w:after="0" w:line="240" w:lineRule="auto"/>
      </w:pPr>
      <w:r>
        <w:separator/>
      </w:r>
    </w:p>
  </w:footnote>
  <w:footnote w:type="continuationSeparator" w:id="0">
    <w:p w14:paraId="18ADC649" w14:textId="77777777" w:rsidR="00FD7483" w:rsidRDefault="00FD748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047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0E37AD"/>
    <w:rsid w:val="00101EDC"/>
    <w:rsid w:val="00153A4F"/>
    <w:rsid w:val="001777AA"/>
    <w:rsid w:val="00183242"/>
    <w:rsid w:val="001A0A02"/>
    <w:rsid w:val="001C4D4C"/>
    <w:rsid w:val="001F6206"/>
    <w:rsid w:val="00200CB2"/>
    <w:rsid w:val="00202051"/>
    <w:rsid w:val="00255AFF"/>
    <w:rsid w:val="00266AFF"/>
    <w:rsid w:val="00272BA1"/>
    <w:rsid w:val="002B16AC"/>
    <w:rsid w:val="002E2C50"/>
    <w:rsid w:val="002F3F41"/>
    <w:rsid w:val="00300269"/>
    <w:rsid w:val="00311F1A"/>
    <w:rsid w:val="00361C46"/>
    <w:rsid w:val="00392D3D"/>
    <w:rsid w:val="00393BDA"/>
    <w:rsid w:val="003A6021"/>
    <w:rsid w:val="003B05A2"/>
    <w:rsid w:val="003B77F3"/>
    <w:rsid w:val="003D46FE"/>
    <w:rsid w:val="003D55CF"/>
    <w:rsid w:val="003E087C"/>
    <w:rsid w:val="003F5AEA"/>
    <w:rsid w:val="004148F6"/>
    <w:rsid w:val="00417C7D"/>
    <w:rsid w:val="00427696"/>
    <w:rsid w:val="0044028C"/>
    <w:rsid w:val="00475FC8"/>
    <w:rsid w:val="00477E93"/>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F2B94"/>
    <w:rsid w:val="007061E6"/>
    <w:rsid w:val="0078377D"/>
    <w:rsid w:val="007A6A5E"/>
    <w:rsid w:val="007B29A3"/>
    <w:rsid w:val="007D19C2"/>
    <w:rsid w:val="007D6545"/>
    <w:rsid w:val="00866CE5"/>
    <w:rsid w:val="00871559"/>
    <w:rsid w:val="008849AC"/>
    <w:rsid w:val="008A299A"/>
    <w:rsid w:val="008B2F1F"/>
    <w:rsid w:val="008D169B"/>
    <w:rsid w:val="00916F5F"/>
    <w:rsid w:val="009257B0"/>
    <w:rsid w:val="00950791"/>
    <w:rsid w:val="00950DFB"/>
    <w:rsid w:val="009662AF"/>
    <w:rsid w:val="00985EF6"/>
    <w:rsid w:val="0099503B"/>
    <w:rsid w:val="009A33B9"/>
    <w:rsid w:val="009D1831"/>
    <w:rsid w:val="00A41BE3"/>
    <w:rsid w:val="00A46D88"/>
    <w:rsid w:val="00A97687"/>
    <w:rsid w:val="00AE3CA5"/>
    <w:rsid w:val="00AE5EE8"/>
    <w:rsid w:val="00B0539A"/>
    <w:rsid w:val="00B054F7"/>
    <w:rsid w:val="00B2273C"/>
    <w:rsid w:val="00B53841"/>
    <w:rsid w:val="00BB0F3C"/>
    <w:rsid w:val="00BF4329"/>
    <w:rsid w:val="00C23A95"/>
    <w:rsid w:val="00C43011"/>
    <w:rsid w:val="00C64210"/>
    <w:rsid w:val="00CA48E6"/>
    <w:rsid w:val="00CE1421"/>
    <w:rsid w:val="00CE5529"/>
    <w:rsid w:val="00D61286"/>
    <w:rsid w:val="00D9012C"/>
    <w:rsid w:val="00D96633"/>
    <w:rsid w:val="00DC54F2"/>
    <w:rsid w:val="00E06D89"/>
    <w:rsid w:val="00E17723"/>
    <w:rsid w:val="00E51E36"/>
    <w:rsid w:val="00E741D5"/>
    <w:rsid w:val="00E8314B"/>
    <w:rsid w:val="00EC7E26"/>
    <w:rsid w:val="00F81724"/>
    <w:rsid w:val="00FA09D7"/>
    <w:rsid w:val="00FC1AA3"/>
    <w:rsid w:val="00FD74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E54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A48E6"/>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E087C"/>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A48E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A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E29C-BF82-774F-B1BE-7D595858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96</cp:revision>
  <dcterms:created xsi:type="dcterms:W3CDTF">2019-10-18T10:25:00Z</dcterms:created>
  <dcterms:modified xsi:type="dcterms:W3CDTF">2021-10-05T20:12:00Z</dcterms:modified>
</cp:coreProperties>
</file>