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745"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1980"/>
        <w:gridCol w:w="5953"/>
        <w:gridCol w:w="5812"/>
      </w:tblGrid>
      <w:tr w:rsidR="000D42B6" w:rsidRPr="002A763A" w14:paraId="217A4205" w14:textId="77777777" w:rsidTr="00E17723">
        <w:tc>
          <w:tcPr>
            <w:tcW w:w="1980" w:type="dxa"/>
          </w:tcPr>
          <w:p w14:paraId="31F6BC49" w14:textId="77777777" w:rsidR="000D42B6" w:rsidRPr="00B07AC9" w:rsidRDefault="000D42B6" w:rsidP="00F72479">
            <w:pPr>
              <w:rPr>
                <w:b/>
                <w:sz w:val="32"/>
                <w:szCs w:val="32"/>
                <w:lang w:val="nl-BE"/>
              </w:rPr>
            </w:pPr>
            <w:r w:rsidRPr="00B07AC9">
              <w:rPr>
                <w:b/>
                <w:sz w:val="32"/>
                <w:szCs w:val="32"/>
                <w:lang w:val="nl-BE"/>
              </w:rPr>
              <w:t xml:space="preserve">ARTIKEL </w:t>
            </w:r>
            <w:r w:rsidR="00D40D5C">
              <w:rPr>
                <w:b/>
                <w:sz w:val="32"/>
                <w:szCs w:val="32"/>
                <w:lang w:val="nl-BE"/>
              </w:rPr>
              <w:t>6:87</w:t>
            </w:r>
          </w:p>
        </w:tc>
        <w:tc>
          <w:tcPr>
            <w:tcW w:w="11765" w:type="dxa"/>
            <w:gridSpan w:val="2"/>
            <w:shd w:val="clear" w:color="auto" w:fill="auto"/>
          </w:tcPr>
          <w:p w14:paraId="61A21130" w14:textId="77777777" w:rsidR="000D42B6" w:rsidRPr="00382324" w:rsidRDefault="000D42B6" w:rsidP="00F72479">
            <w:pPr>
              <w:rPr>
                <w:rFonts w:asciiTheme="majorHAnsi" w:eastAsiaTheme="majorEastAsia" w:hAnsiTheme="majorHAnsi" w:cstheme="majorBidi"/>
                <w:b/>
                <w:bCs/>
                <w:color w:val="2E74B5" w:themeColor="accent1" w:themeShade="BF"/>
                <w:sz w:val="32"/>
                <w:szCs w:val="28"/>
                <w:lang w:val="nl-BE"/>
              </w:rPr>
            </w:pPr>
          </w:p>
        </w:tc>
      </w:tr>
      <w:tr w:rsidR="00BF6E43" w:rsidRPr="00AB5372" w14:paraId="53CE2FA2" w14:textId="77777777" w:rsidTr="005D102D">
        <w:tc>
          <w:tcPr>
            <w:tcW w:w="13745" w:type="dxa"/>
            <w:gridSpan w:val="3"/>
          </w:tcPr>
          <w:p w14:paraId="6A437CA6" w14:textId="77777777" w:rsidR="00BF6E43" w:rsidRDefault="00BF6E43" w:rsidP="00BF6E43">
            <w:pPr>
              <w:pStyle w:val="Lijstalinea"/>
              <w:spacing w:before="0" w:beforeAutospacing="0" w:after="0" w:afterAutospacing="0"/>
              <w:rPr>
                <w:rFonts w:ascii="Calibri" w:hAnsi="Calibri"/>
                <w:color w:val="000000"/>
                <w:sz w:val="22"/>
                <w:szCs w:val="22"/>
              </w:rPr>
            </w:pPr>
            <w:r>
              <w:rPr>
                <w:rFonts w:ascii="Calibri" w:hAnsi="Calibri"/>
                <w:b/>
                <w:bCs/>
                <w:color w:val="000000"/>
                <w:sz w:val="22"/>
                <w:szCs w:val="22"/>
              </w:rPr>
              <w:t>NOOT VOORAF AAN BOEK 6</w:t>
            </w:r>
          </w:p>
          <w:p w14:paraId="3A11ED68" w14:textId="77777777" w:rsidR="00BF6E43" w:rsidRDefault="00BF6E43" w:rsidP="00BF6E43">
            <w:pPr>
              <w:pStyle w:val="Lijstalinea"/>
              <w:spacing w:before="0" w:beforeAutospacing="0" w:after="0" w:afterAutospacing="0"/>
              <w:rPr>
                <w:rFonts w:ascii="Calibri" w:hAnsi="Calibri"/>
                <w:color w:val="000000"/>
                <w:sz w:val="22"/>
                <w:szCs w:val="22"/>
              </w:rPr>
            </w:pPr>
            <w:r>
              <w:rPr>
                <w:rFonts w:ascii="Calibri" w:hAnsi="Calibri"/>
                <w:b/>
                <w:bCs/>
                <w:color w:val="000000"/>
                <w:sz w:val="22"/>
                <w:szCs w:val="22"/>
              </w:rPr>
              <w:t> </w:t>
            </w:r>
          </w:p>
          <w:p w14:paraId="5CCD8758" w14:textId="77777777" w:rsidR="00BF6E43" w:rsidRPr="00BF6E43" w:rsidRDefault="00BF6E43" w:rsidP="00BF6E43">
            <w:pPr>
              <w:pStyle w:val="Lijstalinea"/>
              <w:spacing w:before="0" w:beforeAutospacing="0" w:after="0" w:afterAutospacing="0"/>
              <w:jc w:val="both"/>
              <w:rPr>
                <w:rFonts w:ascii="Calibri" w:hAnsi="Calibri"/>
                <w:color w:val="000000"/>
                <w:sz w:val="22"/>
                <w:szCs w:val="22"/>
              </w:rPr>
            </w:pPr>
            <w:r>
              <w:rPr>
                <w:rFonts w:ascii="Calibri" w:hAnsi="Calibri"/>
                <w:b/>
                <w:bCs/>
                <w:color w:val="000000"/>
                <w:sz w:val="22"/>
                <w:szCs w:val="22"/>
              </w:rPr>
              <w:t>Het ontworpen boek 6, dat 13 artikelen telde, werd middels amendement 542 vervangen door een volledig nieuw boek bestaande uit 128 artikelen. We hanteren uiteraard de nummering van het aangenomen WVV, maar vermelden naast de verantwoording bij het amendement in voorkomend geval ook de inhoudelijk overeenkomstige passage uit de ontwerpteksten en de memorie van toelichting.</w:t>
            </w:r>
          </w:p>
        </w:tc>
      </w:tr>
      <w:tr w:rsidR="005B33B1" w:rsidRPr="00AB5372" w14:paraId="70CA843B" w14:textId="77777777" w:rsidTr="00E17723">
        <w:tc>
          <w:tcPr>
            <w:tcW w:w="1980" w:type="dxa"/>
          </w:tcPr>
          <w:p w14:paraId="28062C93" w14:textId="77777777" w:rsidR="005B33B1" w:rsidRPr="00B07AC9" w:rsidRDefault="005B33B1" w:rsidP="00F72479">
            <w:pPr>
              <w:rPr>
                <w:b/>
                <w:sz w:val="32"/>
                <w:szCs w:val="32"/>
                <w:lang w:val="nl-BE"/>
              </w:rPr>
            </w:pPr>
          </w:p>
        </w:tc>
        <w:tc>
          <w:tcPr>
            <w:tcW w:w="11765" w:type="dxa"/>
            <w:gridSpan w:val="2"/>
            <w:shd w:val="clear" w:color="auto" w:fill="auto"/>
          </w:tcPr>
          <w:p w14:paraId="0FE8CB43" w14:textId="77777777" w:rsidR="005B33B1" w:rsidRPr="00382324" w:rsidRDefault="005B33B1" w:rsidP="00F72479">
            <w:pPr>
              <w:rPr>
                <w:rFonts w:asciiTheme="majorHAnsi" w:eastAsiaTheme="majorEastAsia" w:hAnsiTheme="majorHAnsi" w:cstheme="majorBidi"/>
                <w:b/>
                <w:bCs/>
                <w:color w:val="2E74B5" w:themeColor="accent1" w:themeShade="BF"/>
                <w:sz w:val="32"/>
                <w:szCs w:val="28"/>
                <w:lang w:val="nl-BE"/>
              </w:rPr>
            </w:pPr>
          </w:p>
        </w:tc>
      </w:tr>
      <w:tr w:rsidR="00D40D5C" w:rsidRPr="00F72479" w14:paraId="5E7E887A" w14:textId="77777777" w:rsidTr="00FA345D">
        <w:trPr>
          <w:trHeight w:val="803"/>
        </w:trPr>
        <w:tc>
          <w:tcPr>
            <w:tcW w:w="1980" w:type="dxa"/>
          </w:tcPr>
          <w:p w14:paraId="243FC2CC" w14:textId="77777777" w:rsidR="00D40D5C" w:rsidRDefault="00D40D5C" w:rsidP="00F72479">
            <w:pPr>
              <w:spacing w:after="0" w:line="240" w:lineRule="auto"/>
              <w:jc w:val="both"/>
              <w:rPr>
                <w:rFonts w:cs="Calibri"/>
                <w:lang w:val="nl-BE"/>
              </w:rPr>
            </w:pPr>
            <w:r>
              <w:rPr>
                <w:rFonts w:cs="Calibri"/>
                <w:lang w:val="nl-BE"/>
              </w:rPr>
              <w:t>WVV</w:t>
            </w:r>
          </w:p>
        </w:tc>
        <w:tc>
          <w:tcPr>
            <w:tcW w:w="5953" w:type="dxa"/>
            <w:shd w:val="clear" w:color="auto" w:fill="auto"/>
          </w:tcPr>
          <w:p w14:paraId="3D20CD39" w14:textId="77A04240" w:rsidR="00D40D5C" w:rsidRPr="009F12CA" w:rsidRDefault="009F12CA" w:rsidP="00F72479">
            <w:pPr>
              <w:spacing w:after="0" w:line="240" w:lineRule="auto"/>
              <w:jc w:val="both"/>
              <w:rPr>
                <w:rStyle w:val="Hyperlink"/>
                <w:rFonts w:cstheme="minorHAnsi"/>
                <w:lang w:val="nl-BE"/>
              </w:rPr>
            </w:pPr>
            <w:r>
              <w:rPr>
                <w:rFonts w:cstheme="minorHAnsi"/>
                <w:lang w:val="nl-NL"/>
              </w:rPr>
              <w:fldChar w:fldCharType="begin"/>
            </w:r>
            <w:r>
              <w:rPr>
                <w:rFonts w:cstheme="minorHAnsi"/>
                <w:lang w:val="nl-NL"/>
              </w:rPr>
              <w:instrText xml:space="preserve"> HYPERLINK  \l "_Amendement_542" </w:instrText>
            </w:r>
            <w:r>
              <w:rPr>
                <w:rFonts w:cstheme="minorHAnsi"/>
                <w:lang w:val="nl-NL"/>
              </w:rPr>
            </w:r>
            <w:r>
              <w:rPr>
                <w:rFonts w:cstheme="minorHAnsi"/>
                <w:lang w:val="nl-NL"/>
              </w:rPr>
              <w:fldChar w:fldCharType="separate"/>
            </w:r>
            <w:r w:rsidR="00D40D5C" w:rsidRPr="009F12CA">
              <w:rPr>
                <w:rStyle w:val="Hyperlink"/>
                <w:rFonts w:cstheme="minorHAnsi"/>
                <w:lang w:val="nl-NL"/>
              </w:rPr>
              <w:t xml:space="preserve">De algemene vergadering kan, niettegenstaande andersluidende statutaire bepaling, de uitgifte van nieuwe soorten van aandelen goedkeuren, </w:t>
            </w:r>
            <w:proofErr w:type="gramStart"/>
            <w:r w:rsidR="00D40D5C" w:rsidRPr="009F12CA">
              <w:rPr>
                <w:rStyle w:val="Hyperlink"/>
                <w:rFonts w:cstheme="minorHAnsi"/>
                <w:lang w:val="nl-NL"/>
              </w:rPr>
              <w:t>één</w:t>
            </w:r>
            <w:proofErr w:type="gramEnd"/>
            <w:r w:rsidR="00D40D5C" w:rsidRPr="009F12CA">
              <w:rPr>
                <w:rStyle w:val="Hyperlink"/>
                <w:rFonts w:cstheme="minorHAnsi"/>
                <w:lang w:val="nl-NL"/>
              </w:rPr>
              <w:t xml:space="preserve"> of meer soorten afschaffen, de rechten verbonden aan een soort van aandelen gelijkstellen met de rechten van een andere soort, of de rechten verbonden aan een soort rechtstreeks of onrechtstreeks wijzigen. De wijziging van het aantal aandelen van een bestaande soort die niet evenredig aan het aantal uitgegeven aandelen binnen elke soort gebeurt, is evenwel geen wijziging van de rechten verbonden aan elke soort.</w:t>
            </w:r>
          </w:p>
          <w:p w14:paraId="2E6DD7A1" w14:textId="77777777" w:rsidR="00D40D5C" w:rsidRPr="009F12CA" w:rsidRDefault="00D40D5C" w:rsidP="00F72479">
            <w:pPr>
              <w:pStyle w:val="Geenafstand"/>
              <w:jc w:val="both"/>
              <w:rPr>
                <w:rStyle w:val="Hyperlink"/>
                <w:rFonts w:cstheme="minorHAnsi"/>
                <w:lang w:val="nl-NL"/>
              </w:rPr>
            </w:pPr>
          </w:p>
          <w:p w14:paraId="46F5FFBF" w14:textId="77777777" w:rsidR="00D40D5C" w:rsidRPr="009F12CA" w:rsidRDefault="00D40D5C" w:rsidP="00F72479">
            <w:pPr>
              <w:pStyle w:val="Geenafstand"/>
              <w:jc w:val="both"/>
              <w:rPr>
                <w:rStyle w:val="Hyperlink"/>
                <w:rFonts w:cstheme="minorHAnsi"/>
                <w:lang w:val="nl-NL"/>
              </w:rPr>
            </w:pPr>
            <w:r w:rsidRPr="009F12CA">
              <w:rPr>
                <w:rStyle w:val="Hyperlink"/>
                <w:rFonts w:cstheme="minorHAnsi"/>
                <w:lang w:val="nl-NL"/>
              </w:rPr>
              <w:t xml:space="preserve">Het bestuursorgaan verantwoordt de voorgestelde wijzigingen en de gevolgen daarvan op de rechten van de bestaande soorten. Als aan het verslag van het bestuursorgaan ook financiële en boekhoudkundige gegevens ten grondslag liggen, beoordeelt de commissaris, of, als er geen commissaris is, een bedrijfsrevisor of een externe accountant aangewezen door het bestuursorgaan, of de in het verslag van het bestuursorgaan opgenomen financiële en boekhoudkundige gegevens in alle van materieel belang zijnde opzichten getrouw en voldoende zijn om de algemene vergadering die over het voorstel moet stemmen voor te lichten. Beide verslagen worden in de agenda vermeld en aan de aandeelhouders ter beschikking gesteld overeenkomstig artikel 6:70, § 2. Wanneer deze verslagen ontbreken is het besluit van de algemene vergadering nietig. Deze verslagen </w:t>
            </w:r>
            <w:r w:rsidRPr="009F12CA">
              <w:rPr>
                <w:rStyle w:val="Hyperlink"/>
                <w:rFonts w:cstheme="minorHAnsi"/>
                <w:lang w:val="nl-NL"/>
              </w:rPr>
              <w:lastRenderedPageBreak/>
              <w:t>worden neergelegd en bekendgemaakt overeenkomstig de artikelen 2:8 en 2:14, 4°.</w:t>
            </w:r>
          </w:p>
          <w:p w14:paraId="66612E6E" w14:textId="77777777" w:rsidR="00D40D5C" w:rsidRPr="009F12CA" w:rsidRDefault="00D40D5C" w:rsidP="00F72479">
            <w:pPr>
              <w:pStyle w:val="Geenafstand"/>
              <w:jc w:val="both"/>
              <w:rPr>
                <w:rStyle w:val="Hyperlink"/>
                <w:rFonts w:cstheme="minorHAnsi"/>
                <w:lang w:val="nl-NL"/>
              </w:rPr>
            </w:pPr>
          </w:p>
          <w:p w14:paraId="393F2F51" w14:textId="4A54E831" w:rsidR="00D40D5C" w:rsidRPr="00EA2DC8" w:rsidRDefault="00D40D5C" w:rsidP="00F72479">
            <w:pPr>
              <w:tabs>
                <w:tab w:val="left" w:pos="975"/>
              </w:tabs>
              <w:spacing w:after="0" w:line="240" w:lineRule="auto"/>
              <w:jc w:val="both"/>
              <w:rPr>
                <w:rFonts w:cstheme="minorHAnsi"/>
                <w:lang w:val="nl-BE"/>
              </w:rPr>
            </w:pPr>
            <w:r w:rsidRPr="009F12CA">
              <w:rPr>
                <w:rStyle w:val="Hyperlink"/>
                <w:rFonts w:cstheme="minorHAnsi"/>
                <w:lang w:val="nl-NL"/>
              </w:rPr>
              <w:t xml:space="preserve">Elke wijziging van de rechten verbonden aan </w:t>
            </w:r>
            <w:proofErr w:type="gramStart"/>
            <w:r w:rsidRPr="009F12CA">
              <w:rPr>
                <w:rStyle w:val="Hyperlink"/>
                <w:rFonts w:cstheme="minorHAnsi"/>
                <w:lang w:val="nl-NL"/>
              </w:rPr>
              <w:t>éé</w:t>
            </w:r>
            <w:proofErr w:type="gramEnd"/>
            <w:r w:rsidRPr="009F12CA">
              <w:rPr>
                <w:rStyle w:val="Hyperlink"/>
                <w:rFonts w:cstheme="minorHAnsi"/>
                <w:lang w:val="nl-NL"/>
              </w:rPr>
              <w:t>n of meerdere soorten vereist een statutenwijziging, waarbij de beslissing binnen elke soort moet worden genomen met naleving van de aanwezigheids-  en meerderheidsvereisten voorgeschreven voor een statutenwijziging, en moet elke houder van ondereffecten worden toegelaten tot de besluitvorming en de stemming in de betrokken soort, waarbij de stemmen worden geteld op basis van één stem voor het kleinste ondereffect.</w:t>
            </w:r>
            <w:r w:rsidR="009F12CA">
              <w:rPr>
                <w:rFonts w:cstheme="minorHAnsi"/>
                <w:lang w:val="nl-NL"/>
              </w:rPr>
              <w:fldChar w:fldCharType="end"/>
            </w:r>
          </w:p>
        </w:tc>
        <w:tc>
          <w:tcPr>
            <w:tcW w:w="5812" w:type="dxa"/>
            <w:shd w:val="clear" w:color="auto" w:fill="auto"/>
          </w:tcPr>
          <w:p w14:paraId="48070BD8" w14:textId="127DFE8B" w:rsidR="00D40D5C" w:rsidRPr="009F12CA" w:rsidRDefault="009F12CA" w:rsidP="00F72479">
            <w:pPr>
              <w:spacing w:after="0" w:line="240" w:lineRule="auto"/>
              <w:jc w:val="both"/>
              <w:rPr>
                <w:rStyle w:val="Hyperlink"/>
                <w:rFonts w:cstheme="minorHAnsi"/>
                <w:lang w:val="fr-BE"/>
              </w:rPr>
            </w:pPr>
            <w:r>
              <w:rPr>
                <w:rFonts w:cstheme="minorHAnsi"/>
                <w:lang w:val="fr-BE"/>
              </w:rPr>
              <w:lastRenderedPageBreak/>
              <w:fldChar w:fldCharType="begin"/>
            </w:r>
            <w:r>
              <w:rPr>
                <w:rFonts w:cstheme="minorHAnsi"/>
                <w:lang w:val="fr-BE"/>
              </w:rPr>
              <w:instrText xml:space="preserve"> HYPERLINK  \l "_Amendement_542_1" </w:instrText>
            </w:r>
            <w:r>
              <w:rPr>
                <w:rFonts w:cstheme="minorHAnsi"/>
                <w:lang w:val="fr-BE"/>
              </w:rPr>
            </w:r>
            <w:r>
              <w:rPr>
                <w:rFonts w:cstheme="minorHAnsi"/>
                <w:lang w:val="fr-BE"/>
              </w:rPr>
              <w:fldChar w:fldCharType="separate"/>
            </w:r>
            <w:r w:rsidR="00D40D5C" w:rsidRPr="009F12CA">
              <w:rPr>
                <w:rStyle w:val="Hyperlink"/>
                <w:rFonts w:cstheme="minorHAnsi"/>
                <w:lang w:val="fr-BE"/>
              </w:rPr>
              <w:t>L’assemblée générale peut, nonobstant toute disposition statutaire contraire, approuver l’émission de nouvelles classes d’actions, supprimer une ou plusieurs classes, assimiler les droits attachés à une classe d’actions et ceux attachés à une autre classe ou modifier directement ou indirectement les droits attachés à une classe. La modification du nombre d’actions d’une classe existante qui ne s’effectue pas proportionnellement au nombre d’actions émises dans chaque classe, ne constitue toutefois pas une modification des droits attachés à chacune des classes.</w:t>
            </w:r>
          </w:p>
          <w:p w14:paraId="515E3A01" w14:textId="77777777" w:rsidR="00D40D5C" w:rsidRPr="009F12CA" w:rsidRDefault="00D40D5C" w:rsidP="00F72479">
            <w:pPr>
              <w:pStyle w:val="Geenafstand"/>
              <w:jc w:val="both"/>
              <w:rPr>
                <w:rStyle w:val="Hyperlink"/>
                <w:rFonts w:cstheme="minorHAnsi"/>
                <w:lang w:val="fr-BE"/>
              </w:rPr>
            </w:pPr>
          </w:p>
          <w:p w14:paraId="26E41EB8" w14:textId="77777777" w:rsidR="00D40D5C" w:rsidRPr="009F12CA" w:rsidRDefault="00D40D5C" w:rsidP="00F72479">
            <w:pPr>
              <w:pStyle w:val="Geenafstand"/>
              <w:jc w:val="both"/>
              <w:rPr>
                <w:rStyle w:val="Hyperlink"/>
                <w:rFonts w:cstheme="minorHAnsi"/>
                <w:lang w:val="fr-BE"/>
              </w:rPr>
            </w:pPr>
            <w:r w:rsidRPr="009F12CA">
              <w:rPr>
                <w:rStyle w:val="Hyperlink"/>
                <w:rFonts w:cstheme="minorHAnsi"/>
                <w:lang w:val="fr-BE"/>
              </w:rPr>
              <w:t xml:space="preserve">L’organe d’administration justifie les modifications proposées et leurs conséquences sur les droits des classes existantes. Si des données financières et comptables sous-tendent également le rapport de l’organe d’administration, le commissaire ou, lorsqu’il n’y a pas de commissaire, un réviseur d’entreprises ou un expert-comptable externe désigné par l’organe d’administration, évalue si ces données financières et comptables figurant dans le rapport de l’organe d’administration sont fidèles et suffisantes dans tous leurs aspects significats pour éclairer l’assemblée générale appelée à voter sur cette proposition. Les deux rapports sont annoncés dans l’ordre du jour et mis à la disposition des actionnaires conformément à l’article 6:70, § 2. En l’absence de ces </w:t>
            </w:r>
            <w:r w:rsidRPr="009F12CA">
              <w:rPr>
                <w:rStyle w:val="Hyperlink"/>
                <w:rFonts w:cstheme="minorHAnsi"/>
                <w:lang w:val="fr-BE"/>
              </w:rPr>
              <w:lastRenderedPageBreak/>
              <w:t>rapports, la décision de l’assemblée générale est nulle. Ces rapports sont déposés et publiés conformément aux articles 2:8 et 2:14, 4°.</w:t>
            </w:r>
          </w:p>
          <w:p w14:paraId="187B30F8" w14:textId="77777777" w:rsidR="00D40D5C" w:rsidRPr="009F12CA" w:rsidRDefault="00D40D5C" w:rsidP="00F72479">
            <w:pPr>
              <w:pStyle w:val="Geenafstand"/>
              <w:jc w:val="both"/>
              <w:rPr>
                <w:rStyle w:val="Hyperlink"/>
                <w:rFonts w:cstheme="minorHAnsi"/>
                <w:lang w:val="fr-BE"/>
              </w:rPr>
            </w:pPr>
          </w:p>
          <w:p w14:paraId="49124F71" w14:textId="63320487" w:rsidR="00D40D5C" w:rsidRPr="00EA2DC8" w:rsidRDefault="00D40D5C" w:rsidP="00F72479">
            <w:pPr>
              <w:pStyle w:val="Geenafstand"/>
              <w:jc w:val="both"/>
              <w:rPr>
                <w:rFonts w:cstheme="minorHAnsi"/>
                <w:lang w:val="fr-BE"/>
              </w:rPr>
            </w:pPr>
            <w:r w:rsidRPr="009F12CA">
              <w:rPr>
                <w:rStyle w:val="Hyperlink"/>
                <w:rFonts w:cstheme="minorHAnsi"/>
                <w:lang w:val="fr-BE"/>
              </w:rPr>
              <w:t>Toute modification des droits attachés à une ou plusieurs classes nécessite une modification des statuts, pour laquelle la décision doit être prise dans chaque classe dans le respect des conditions de quorum et de majorité requises pour la modification des statuts, et chaque porteur de coupures de titres doit être admis à la délibération et au vote dans la classe concernée, les voix étant comptées sur base d’une voix à la coupure la plus faible.</w:t>
            </w:r>
            <w:r w:rsidR="009F12CA">
              <w:rPr>
                <w:rFonts w:cstheme="minorHAnsi"/>
                <w:lang w:val="fr-BE"/>
              </w:rPr>
              <w:fldChar w:fldCharType="end"/>
            </w:r>
            <w:bookmarkStart w:id="0" w:name="_GoBack"/>
            <w:bookmarkEnd w:id="0"/>
          </w:p>
        </w:tc>
      </w:tr>
      <w:tr w:rsidR="007D0C8E" w:rsidRPr="00F72479" w14:paraId="008C9E63" w14:textId="77777777" w:rsidTr="007D0C8E">
        <w:trPr>
          <w:trHeight w:val="451"/>
        </w:trPr>
        <w:tc>
          <w:tcPr>
            <w:tcW w:w="1980" w:type="dxa"/>
          </w:tcPr>
          <w:p w14:paraId="514CB26E" w14:textId="754384EB" w:rsidR="007D0C8E" w:rsidRDefault="007D0C8E" w:rsidP="00F72479">
            <w:pPr>
              <w:spacing w:after="0" w:line="240" w:lineRule="auto"/>
              <w:jc w:val="both"/>
              <w:rPr>
                <w:rFonts w:cs="Calibri"/>
                <w:lang w:val="nl-BE"/>
              </w:rPr>
            </w:pPr>
            <w:r w:rsidRPr="00D17218">
              <w:lastRenderedPageBreak/>
              <w:t>Ontwerp</w:t>
            </w:r>
          </w:p>
        </w:tc>
        <w:tc>
          <w:tcPr>
            <w:tcW w:w="5953" w:type="dxa"/>
            <w:shd w:val="clear" w:color="auto" w:fill="auto"/>
          </w:tcPr>
          <w:p w14:paraId="06660905" w14:textId="3A4F23DB" w:rsidR="007D0C8E" w:rsidRPr="00D41C14" w:rsidRDefault="007D0C8E" w:rsidP="00F72479">
            <w:pPr>
              <w:spacing w:after="0" w:line="240" w:lineRule="auto"/>
              <w:jc w:val="both"/>
              <w:rPr>
                <w:rFonts w:cstheme="minorHAnsi"/>
                <w:lang w:val="nl-NL"/>
              </w:rPr>
            </w:pPr>
            <w:r w:rsidRPr="00D17218">
              <w:t>Geen artikel</w:t>
            </w:r>
            <w:r>
              <w:t>.</w:t>
            </w:r>
          </w:p>
        </w:tc>
        <w:tc>
          <w:tcPr>
            <w:tcW w:w="5812" w:type="dxa"/>
            <w:shd w:val="clear" w:color="auto" w:fill="auto"/>
          </w:tcPr>
          <w:p w14:paraId="1374BD3E" w14:textId="091F6566" w:rsidR="007D0C8E" w:rsidRPr="00D41C14" w:rsidRDefault="007D0C8E" w:rsidP="00F72479">
            <w:pPr>
              <w:spacing w:after="0" w:line="240" w:lineRule="auto"/>
              <w:jc w:val="both"/>
              <w:rPr>
                <w:rFonts w:cstheme="minorHAnsi"/>
                <w:lang w:val="fr-BE"/>
              </w:rPr>
            </w:pPr>
            <w:r>
              <w:t>Pas d’article.</w:t>
            </w:r>
          </w:p>
        </w:tc>
      </w:tr>
      <w:tr w:rsidR="007D0C8E" w:rsidRPr="00B4398E" w14:paraId="517D85D4" w14:textId="77777777" w:rsidTr="00FA345D">
        <w:trPr>
          <w:trHeight w:val="375"/>
        </w:trPr>
        <w:tc>
          <w:tcPr>
            <w:tcW w:w="1980" w:type="dxa"/>
          </w:tcPr>
          <w:p w14:paraId="374695C6" w14:textId="77777777" w:rsidR="007D0C8E" w:rsidRPr="00B4398E" w:rsidRDefault="007D0C8E" w:rsidP="00F72479">
            <w:pPr>
              <w:spacing w:after="0" w:line="240" w:lineRule="auto"/>
              <w:jc w:val="both"/>
              <w:rPr>
                <w:rFonts w:cs="Calibri"/>
                <w:lang w:val="fr-FR"/>
              </w:rPr>
            </w:pPr>
            <w:r>
              <w:rPr>
                <w:rFonts w:cs="Calibri"/>
                <w:lang w:val="fr-FR"/>
              </w:rPr>
              <w:t>Voorontwerp</w:t>
            </w:r>
          </w:p>
        </w:tc>
        <w:tc>
          <w:tcPr>
            <w:tcW w:w="5953" w:type="dxa"/>
            <w:shd w:val="clear" w:color="auto" w:fill="auto"/>
          </w:tcPr>
          <w:p w14:paraId="29ECA486" w14:textId="77777777" w:rsidR="007D0C8E" w:rsidRPr="00B4398E" w:rsidRDefault="007D0C8E" w:rsidP="00F72479">
            <w:pPr>
              <w:spacing w:after="0" w:line="240" w:lineRule="auto"/>
              <w:jc w:val="both"/>
              <w:rPr>
                <w:rFonts w:cstheme="minorHAnsi"/>
                <w:lang w:val="fr-FR"/>
              </w:rPr>
            </w:pPr>
            <w:r>
              <w:rPr>
                <w:rFonts w:cstheme="minorHAnsi"/>
                <w:lang w:val="fr-FR"/>
              </w:rPr>
              <w:t>Geen artikel.</w:t>
            </w:r>
          </w:p>
        </w:tc>
        <w:tc>
          <w:tcPr>
            <w:tcW w:w="5812" w:type="dxa"/>
            <w:shd w:val="clear" w:color="auto" w:fill="auto"/>
          </w:tcPr>
          <w:p w14:paraId="7670691D" w14:textId="77777777" w:rsidR="007D0C8E" w:rsidRPr="00D41C14" w:rsidRDefault="007D0C8E" w:rsidP="00F72479">
            <w:pPr>
              <w:spacing w:after="0" w:line="240" w:lineRule="auto"/>
              <w:jc w:val="both"/>
              <w:rPr>
                <w:rFonts w:cstheme="minorHAnsi"/>
                <w:lang w:val="fr-BE"/>
              </w:rPr>
            </w:pPr>
            <w:r>
              <w:rPr>
                <w:rFonts w:cstheme="minorHAnsi"/>
                <w:lang w:val="fr-BE"/>
              </w:rPr>
              <w:t>Pas d’article.</w:t>
            </w:r>
          </w:p>
        </w:tc>
      </w:tr>
      <w:tr w:rsidR="007D0C8E" w:rsidRPr="00B4398E" w14:paraId="42A7A69E" w14:textId="77777777" w:rsidTr="00F72479">
        <w:trPr>
          <w:trHeight w:val="401"/>
        </w:trPr>
        <w:tc>
          <w:tcPr>
            <w:tcW w:w="1980" w:type="dxa"/>
          </w:tcPr>
          <w:p w14:paraId="7C1E1A1C" w14:textId="77777777" w:rsidR="007D0C8E" w:rsidRPr="00D17218" w:rsidRDefault="007D0C8E" w:rsidP="00F72479">
            <w:pPr>
              <w:spacing w:after="0"/>
            </w:pPr>
            <w:r>
              <w:t>MvT</w:t>
            </w:r>
          </w:p>
        </w:tc>
        <w:tc>
          <w:tcPr>
            <w:tcW w:w="5953" w:type="dxa"/>
            <w:shd w:val="clear" w:color="auto" w:fill="auto"/>
          </w:tcPr>
          <w:p w14:paraId="29DC9D2F" w14:textId="77777777" w:rsidR="007D0C8E" w:rsidRPr="00063E4F" w:rsidRDefault="007D0C8E" w:rsidP="00F72479">
            <w:pPr>
              <w:spacing w:after="0"/>
            </w:pPr>
            <w:r>
              <w:t>Geen opmerkingen.</w:t>
            </w:r>
          </w:p>
        </w:tc>
        <w:tc>
          <w:tcPr>
            <w:tcW w:w="5812" w:type="dxa"/>
            <w:shd w:val="clear" w:color="auto" w:fill="auto"/>
          </w:tcPr>
          <w:p w14:paraId="0F86D50A" w14:textId="77777777" w:rsidR="007D0C8E" w:rsidRPr="00063E4F" w:rsidRDefault="007D0C8E" w:rsidP="00F72479">
            <w:pPr>
              <w:spacing w:after="0"/>
            </w:pPr>
            <w:r>
              <w:t>Pas de remarques.</w:t>
            </w:r>
          </w:p>
        </w:tc>
      </w:tr>
      <w:tr w:rsidR="007D0C8E" w:rsidRPr="00B4398E" w14:paraId="0E6B49B4" w14:textId="77777777" w:rsidTr="00F72479">
        <w:trPr>
          <w:trHeight w:val="421"/>
        </w:trPr>
        <w:tc>
          <w:tcPr>
            <w:tcW w:w="1980" w:type="dxa"/>
          </w:tcPr>
          <w:p w14:paraId="34AFC7E7" w14:textId="77777777" w:rsidR="007D0C8E" w:rsidRPr="00D17218" w:rsidRDefault="007D0C8E" w:rsidP="00F72479">
            <w:pPr>
              <w:spacing w:after="0"/>
            </w:pPr>
            <w:r>
              <w:t>RvSt</w:t>
            </w:r>
          </w:p>
        </w:tc>
        <w:tc>
          <w:tcPr>
            <w:tcW w:w="5953" w:type="dxa"/>
            <w:shd w:val="clear" w:color="auto" w:fill="auto"/>
          </w:tcPr>
          <w:p w14:paraId="5694ADDA" w14:textId="77777777" w:rsidR="007D0C8E" w:rsidRPr="00063E4F" w:rsidRDefault="007D0C8E" w:rsidP="00F72479">
            <w:pPr>
              <w:spacing w:after="0"/>
            </w:pPr>
            <w:r>
              <w:t>Geen opmerkingen.</w:t>
            </w:r>
          </w:p>
        </w:tc>
        <w:tc>
          <w:tcPr>
            <w:tcW w:w="5812" w:type="dxa"/>
            <w:shd w:val="clear" w:color="auto" w:fill="auto"/>
          </w:tcPr>
          <w:p w14:paraId="20DE623C" w14:textId="77777777" w:rsidR="007D0C8E" w:rsidRPr="00063E4F" w:rsidRDefault="007D0C8E" w:rsidP="00F72479">
            <w:pPr>
              <w:spacing w:after="0"/>
            </w:pPr>
            <w:r>
              <w:t>Pas de remarques.</w:t>
            </w:r>
          </w:p>
        </w:tc>
      </w:tr>
      <w:tr w:rsidR="00AB5372" w:rsidRPr="00E11908" w14:paraId="1249A4FD" w14:textId="77777777" w:rsidTr="00F72479">
        <w:trPr>
          <w:trHeight w:val="421"/>
        </w:trPr>
        <w:tc>
          <w:tcPr>
            <w:tcW w:w="1980" w:type="dxa"/>
          </w:tcPr>
          <w:p w14:paraId="1B83390D" w14:textId="176A40DA" w:rsidR="00AB5372" w:rsidRDefault="00AB5372" w:rsidP="009F12CA">
            <w:pPr>
              <w:pStyle w:val="Kop1"/>
            </w:pPr>
            <w:bookmarkStart w:id="1" w:name="_Amendement_542"/>
            <w:bookmarkStart w:id="2" w:name="_Amendement_542_1"/>
            <w:bookmarkEnd w:id="1"/>
            <w:bookmarkEnd w:id="2"/>
            <w:r>
              <w:t>Amendement 542</w:t>
            </w:r>
          </w:p>
        </w:tc>
        <w:tc>
          <w:tcPr>
            <w:tcW w:w="5953" w:type="dxa"/>
            <w:shd w:val="clear" w:color="auto" w:fill="auto"/>
          </w:tcPr>
          <w:p w14:paraId="1430677D" w14:textId="7969E507" w:rsidR="00AB5372" w:rsidRPr="00E11908" w:rsidRDefault="00E11908" w:rsidP="00E11908">
            <w:pPr>
              <w:spacing w:after="0"/>
              <w:jc w:val="both"/>
              <w:rPr>
                <w:lang w:val="nl-NL"/>
              </w:rPr>
            </w:pPr>
            <w:r w:rsidRPr="00E11908">
              <w:rPr>
                <w:lang w:val="nl-NL"/>
              </w:rPr>
              <w:t>De tekst is die v</w:t>
            </w:r>
            <w:r>
              <w:rPr>
                <w:lang w:val="nl-NL"/>
              </w:rPr>
              <w:t>an artikel 5:102, met dien ver</w:t>
            </w:r>
            <w:r w:rsidRPr="00E11908">
              <w:rPr>
                <w:lang w:val="nl-NL"/>
              </w:rPr>
              <w:t xml:space="preserve">stande dat de onevenredige </w:t>
            </w:r>
            <w:r>
              <w:rPr>
                <w:lang w:val="nl-NL"/>
              </w:rPr>
              <w:t>wijziging van het aantal aande</w:t>
            </w:r>
            <w:r w:rsidRPr="00E11908">
              <w:rPr>
                <w:lang w:val="nl-NL"/>
              </w:rPr>
              <w:t xml:space="preserve">len van een bepaalde soort geen wijziging van de rechten verbonden aan een bepaalde soort inhoudt. Deze flexibiliteit behoort immers tot de aard van de </w:t>
            </w:r>
            <w:proofErr w:type="gramStart"/>
            <w:r w:rsidRPr="00E11908">
              <w:rPr>
                <w:lang w:val="nl-NL"/>
              </w:rPr>
              <w:t>CV</w:t>
            </w:r>
            <w:proofErr w:type="gramEnd"/>
            <w:r w:rsidRPr="00E11908">
              <w:rPr>
                <w:lang w:val="nl-NL"/>
              </w:rPr>
              <w:t xml:space="preserve"> zelf. </w:t>
            </w:r>
          </w:p>
        </w:tc>
        <w:tc>
          <w:tcPr>
            <w:tcW w:w="5812" w:type="dxa"/>
            <w:shd w:val="clear" w:color="auto" w:fill="auto"/>
          </w:tcPr>
          <w:p w14:paraId="1FFEEFFE" w14:textId="26C0825E" w:rsidR="00AB5372" w:rsidRPr="003112E5" w:rsidRDefault="003112E5" w:rsidP="003112E5">
            <w:pPr>
              <w:spacing w:after="0"/>
              <w:jc w:val="both"/>
              <w:rPr>
                <w:lang w:val="fr-FR"/>
              </w:rPr>
            </w:pPr>
            <w:r w:rsidRPr="003112E5">
              <w:rPr>
                <w:lang w:val="fr-FR"/>
              </w:rPr>
              <w:t xml:space="preserve">Le texte est celui de l’article </w:t>
            </w:r>
            <w:proofErr w:type="gramStart"/>
            <w:r w:rsidRPr="003112E5">
              <w:rPr>
                <w:lang w:val="fr-FR"/>
              </w:rPr>
              <w:t>5:</w:t>
            </w:r>
            <w:proofErr w:type="gramEnd"/>
            <w:r w:rsidRPr="003112E5">
              <w:rPr>
                <w:lang w:val="fr-FR"/>
              </w:rPr>
              <w:t>102, étant entendu que la modification du nombr</w:t>
            </w:r>
            <w:r>
              <w:rPr>
                <w:lang w:val="fr-FR"/>
              </w:rPr>
              <w:t>e d’actions d’une classe déter</w:t>
            </w:r>
            <w:r w:rsidRPr="003112E5">
              <w:rPr>
                <w:lang w:val="fr-FR"/>
              </w:rPr>
              <w:t xml:space="preserve">minée qui ne s’effectue pas proportionnellement n’induit pas de modification des droits liés à cette classe . Cette flexibilité fait effectivement partie de la nature de la SC même. </w:t>
            </w:r>
          </w:p>
        </w:tc>
      </w:tr>
    </w:tbl>
    <w:p w14:paraId="44F730D1" w14:textId="77777777" w:rsidR="000D42B6" w:rsidRPr="00200CB2" w:rsidRDefault="000D42B6" w:rsidP="002E2C50">
      <w:pPr>
        <w:rPr>
          <w:lang w:val="fr-FR"/>
        </w:rPr>
      </w:pPr>
    </w:p>
    <w:sectPr w:rsidR="000D42B6" w:rsidRPr="00200CB2" w:rsidSect="00E17723">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D5B803" w14:textId="77777777" w:rsidR="00CA0799" w:rsidRDefault="00CA0799" w:rsidP="000D42B6">
      <w:pPr>
        <w:spacing w:after="0" w:line="240" w:lineRule="auto"/>
      </w:pPr>
      <w:r>
        <w:separator/>
      </w:r>
    </w:p>
  </w:endnote>
  <w:endnote w:type="continuationSeparator" w:id="0">
    <w:p w14:paraId="0657D9A6" w14:textId="77777777" w:rsidR="00CA0799" w:rsidRDefault="00CA0799" w:rsidP="000D4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Segoe UI">
    <w:altName w:val="Calibri"/>
    <w:charset w:val="00"/>
    <w:family w:val="swiss"/>
    <w:pitch w:val="variable"/>
    <w:sig w:usb0="E4002EFF" w:usb1="C000E47F"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E654FA" w14:textId="77777777" w:rsidR="00CA0799" w:rsidRDefault="00CA0799" w:rsidP="000D42B6">
      <w:pPr>
        <w:spacing w:after="0" w:line="240" w:lineRule="auto"/>
      </w:pPr>
      <w:r>
        <w:separator/>
      </w:r>
    </w:p>
  </w:footnote>
  <w:footnote w:type="continuationSeparator" w:id="0">
    <w:p w14:paraId="7FFE0B01" w14:textId="77777777" w:rsidR="00CA0799" w:rsidRDefault="00CA0799" w:rsidP="000D42B6">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0B982C1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A5E"/>
    <w:rsid w:val="00010452"/>
    <w:rsid w:val="00034AA1"/>
    <w:rsid w:val="00045500"/>
    <w:rsid w:val="00047A70"/>
    <w:rsid w:val="00053660"/>
    <w:rsid w:val="0006172F"/>
    <w:rsid w:val="000676A1"/>
    <w:rsid w:val="00077EBB"/>
    <w:rsid w:val="00083B1B"/>
    <w:rsid w:val="000923F2"/>
    <w:rsid w:val="000B434D"/>
    <w:rsid w:val="000D42B6"/>
    <w:rsid w:val="00101EDC"/>
    <w:rsid w:val="00153A4F"/>
    <w:rsid w:val="001777AA"/>
    <w:rsid w:val="00183242"/>
    <w:rsid w:val="001A0A02"/>
    <w:rsid w:val="001C4D4C"/>
    <w:rsid w:val="001F6206"/>
    <w:rsid w:val="001F70DD"/>
    <w:rsid w:val="00200CB2"/>
    <w:rsid w:val="00202051"/>
    <w:rsid w:val="00266AFF"/>
    <w:rsid w:val="00272BA1"/>
    <w:rsid w:val="002B16AC"/>
    <w:rsid w:val="002E2C50"/>
    <w:rsid w:val="002F3F41"/>
    <w:rsid w:val="00300269"/>
    <w:rsid w:val="003112E5"/>
    <w:rsid w:val="00311F1A"/>
    <w:rsid w:val="00361C46"/>
    <w:rsid w:val="00392D3D"/>
    <w:rsid w:val="00393BDA"/>
    <w:rsid w:val="003A6021"/>
    <w:rsid w:val="003B05A2"/>
    <w:rsid w:val="003B77F3"/>
    <w:rsid w:val="003D46FE"/>
    <w:rsid w:val="003D55CF"/>
    <w:rsid w:val="003F5AEA"/>
    <w:rsid w:val="004148F6"/>
    <w:rsid w:val="00417C7D"/>
    <w:rsid w:val="00427696"/>
    <w:rsid w:val="0044028C"/>
    <w:rsid w:val="00445434"/>
    <w:rsid w:val="00475FC8"/>
    <w:rsid w:val="00477E93"/>
    <w:rsid w:val="00482090"/>
    <w:rsid w:val="00503582"/>
    <w:rsid w:val="00512C24"/>
    <w:rsid w:val="0052140A"/>
    <w:rsid w:val="005407B7"/>
    <w:rsid w:val="00552278"/>
    <w:rsid w:val="0055572F"/>
    <w:rsid w:val="00560C08"/>
    <w:rsid w:val="0056512F"/>
    <w:rsid w:val="0057031D"/>
    <w:rsid w:val="005974AD"/>
    <w:rsid w:val="005A0621"/>
    <w:rsid w:val="005B33B1"/>
    <w:rsid w:val="006170A4"/>
    <w:rsid w:val="00630590"/>
    <w:rsid w:val="00642F57"/>
    <w:rsid w:val="00665133"/>
    <w:rsid w:val="006F2B94"/>
    <w:rsid w:val="007061E6"/>
    <w:rsid w:val="007316C7"/>
    <w:rsid w:val="0078377D"/>
    <w:rsid w:val="007A38E2"/>
    <w:rsid w:val="007A6A5E"/>
    <w:rsid w:val="007B29A3"/>
    <w:rsid w:val="007D0C8E"/>
    <w:rsid w:val="007D19C2"/>
    <w:rsid w:val="00871559"/>
    <w:rsid w:val="008849AC"/>
    <w:rsid w:val="008A299A"/>
    <w:rsid w:val="008B2F1F"/>
    <w:rsid w:val="008D169B"/>
    <w:rsid w:val="00916F5F"/>
    <w:rsid w:val="00950791"/>
    <w:rsid w:val="00950DFB"/>
    <w:rsid w:val="009662AF"/>
    <w:rsid w:val="00985EF6"/>
    <w:rsid w:val="0099503B"/>
    <w:rsid w:val="009A33B9"/>
    <w:rsid w:val="009D1831"/>
    <w:rsid w:val="009F12CA"/>
    <w:rsid w:val="00A41BE3"/>
    <w:rsid w:val="00A46D88"/>
    <w:rsid w:val="00A97687"/>
    <w:rsid w:val="00AB5372"/>
    <w:rsid w:val="00AE3CA5"/>
    <w:rsid w:val="00AE5EE8"/>
    <w:rsid w:val="00B0539A"/>
    <w:rsid w:val="00B2273C"/>
    <w:rsid w:val="00B4398E"/>
    <w:rsid w:val="00B53841"/>
    <w:rsid w:val="00BB0F3C"/>
    <w:rsid w:val="00BF6E43"/>
    <w:rsid w:val="00C23A95"/>
    <w:rsid w:val="00C43011"/>
    <w:rsid w:val="00C64210"/>
    <w:rsid w:val="00CA0799"/>
    <w:rsid w:val="00CE1421"/>
    <w:rsid w:val="00D40D5C"/>
    <w:rsid w:val="00D61286"/>
    <w:rsid w:val="00D9012C"/>
    <w:rsid w:val="00D96633"/>
    <w:rsid w:val="00DC54F2"/>
    <w:rsid w:val="00DD1BC3"/>
    <w:rsid w:val="00E11908"/>
    <w:rsid w:val="00E17723"/>
    <w:rsid w:val="00E51E36"/>
    <w:rsid w:val="00E741D5"/>
    <w:rsid w:val="00E8314B"/>
    <w:rsid w:val="00EC7E26"/>
    <w:rsid w:val="00F021BD"/>
    <w:rsid w:val="00F72479"/>
    <w:rsid w:val="00FA09D7"/>
    <w:rsid w:val="00FA3215"/>
    <w:rsid w:val="00FA345D"/>
    <w:rsid w:val="00FC1AA3"/>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8F727D"/>
  <w15:chartTrackingRefBased/>
  <w15:docId w15:val="{82808E52-51C0-47E3-9D82-BA2EBE710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7A6A5E"/>
    <w:pPr>
      <w:spacing w:after="200" w:line="276" w:lineRule="auto"/>
    </w:pPr>
    <w:rPr>
      <w:lang w:val="en-GB"/>
    </w:rPr>
  </w:style>
  <w:style w:type="paragraph" w:styleId="Kop1">
    <w:name w:val="heading 1"/>
    <w:basedOn w:val="Standaard"/>
    <w:next w:val="Standaard"/>
    <w:link w:val="Kop1Teken"/>
    <w:uiPriority w:val="9"/>
    <w:qFormat/>
    <w:rsid w:val="009F12CA"/>
    <w:pPr>
      <w:keepNext/>
      <w:keepLines/>
      <w:spacing w:before="240" w:after="0"/>
      <w:outlineLvl w:val="0"/>
    </w:pPr>
    <w:rPr>
      <w:rFonts w:eastAsiaTheme="majorEastAsia" w:cstheme="majorBidi"/>
      <w:color w:val="000000" w:themeColor="text1"/>
      <w:szCs w:val="32"/>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Teken"/>
    <w:uiPriority w:val="99"/>
    <w:semiHidden/>
    <w:unhideWhenUsed/>
    <w:rsid w:val="007A6A5E"/>
    <w:pPr>
      <w:spacing w:after="0" w:line="240" w:lineRule="auto"/>
    </w:pPr>
    <w:rPr>
      <w:rFonts w:ascii="Segoe UI" w:hAnsi="Segoe UI" w:cs="Segoe UI"/>
      <w:sz w:val="18"/>
      <w:szCs w:val="18"/>
    </w:rPr>
  </w:style>
  <w:style w:type="character" w:customStyle="1" w:styleId="BallontekstTeken">
    <w:name w:val="Ballontekst Teken"/>
    <w:basedOn w:val="Standaardalinea-lettertype"/>
    <w:link w:val="Ballontekst"/>
    <w:uiPriority w:val="99"/>
    <w:semiHidden/>
    <w:rsid w:val="007A6A5E"/>
    <w:rPr>
      <w:rFonts w:ascii="Segoe UI" w:hAnsi="Segoe UI" w:cs="Segoe UI"/>
      <w:sz w:val="18"/>
      <w:szCs w:val="18"/>
      <w:lang w:val="en-GB"/>
    </w:rPr>
  </w:style>
  <w:style w:type="paragraph" w:styleId="Koptekst">
    <w:name w:val="header"/>
    <w:basedOn w:val="Standaard"/>
    <w:link w:val="KoptekstTeken"/>
    <w:uiPriority w:val="99"/>
    <w:unhideWhenUsed/>
    <w:rsid w:val="000D42B6"/>
    <w:pPr>
      <w:tabs>
        <w:tab w:val="center" w:pos="4680"/>
        <w:tab w:val="right" w:pos="9360"/>
      </w:tabs>
      <w:spacing w:after="0" w:line="240" w:lineRule="auto"/>
    </w:pPr>
  </w:style>
  <w:style w:type="character" w:customStyle="1" w:styleId="KoptekstTeken">
    <w:name w:val="Koptekst Teken"/>
    <w:basedOn w:val="Standaardalinea-lettertype"/>
    <w:link w:val="Koptekst"/>
    <w:uiPriority w:val="99"/>
    <w:rsid w:val="000D42B6"/>
    <w:rPr>
      <w:lang w:val="en-GB"/>
    </w:rPr>
  </w:style>
  <w:style w:type="paragraph" w:styleId="Voettekst">
    <w:name w:val="footer"/>
    <w:basedOn w:val="Standaard"/>
    <w:link w:val="VoettekstTeken"/>
    <w:uiPriority w:val="99"/>
    <w:unhideWhenUsed/>
    <w:rsid w:val="000D42B6"/>
    <w:pPr>
      <w:tabs>
        <w:tab w:val="center" w:pos="4680"/>
        <w:tab w:val="right" w:pos="9360"/>
      </w:tabs>
      <w:spacing w:after="0" w:line="240" w:lineRule="auto"/>
    </w:pPr>
  </w:style>
  <w:style w:type="character" w:customStyle="1" w:styleId="VoettekstTeken">
    <w:name w:val="Voettekst Teken"/>
    <w:basedOn w:val="Standaardalinea-lettertype"/>
    <w:link w:val="Voettekst"/>
    <w:uiPriority w:val="99"/>
    <w:rsid w:val="000D42B6"/>
    <w:rPr>
      <w:lang w:val="en-GB"/>
    </w:rPr>
  </w:style>
  <w:style w:type="paragraph" w:styleId="Geenafstand">
    <w:name w:val="No Spacing"/>
    <w:uiPriority w:val="1"/>
    <w:qFormat/>
    <w:rsid w:val="005974AD"/>
    <w:pPr>
      <w:spacing w:after="0" w:line="240" w:lineRule="auto"/>
    </w:pPr>
    <w:rPr>
      <w:lang w:val="nl-BE"/>
    </w:rPr>
  </w:style>
  <w:style w:type="character" w:customStyle="1" w:styleId="cursief">
    <w:name w:val="cursief"/>
    <w:uiPriority w:val="99"/>
    <w:rsid w:val="002E2C50"/>
    <w:rPr>
      <w:i/>
      <w:iCs/>
      <w:vertAlign w:val="baseline"/>
    </w:rPr>
  </w:style>
  <w:style w:type="paragraph" w:styleId="Lijstalinea">
    <w:name w:val="List Paragraph"/>
    <w:basedOn w:val="Standaard"/>
    <w:uiPriority w:val="34"/>
    <w:qFormat/>
    <w:rsid w:val="00BF6E43"/>
    <w:pPr>
      <w:spacing w:before="100" w:beforeAutospacing="1" w:after="100" w:afterAutospacing="1" w:line="240" w:lineRule="auto"/>
    </w:pPr>
    <w:rPr>
      <w:rFonts w:ascii="Times New Roman" w:hAnsi="Times New Roman" w:cs="Times New Roman"/>
      <w:sz w:val="24"/>
      <w:szCs w:val="24"/>
      <w:lang w:val="nl-NL" w:eastAsia="nl-NL"/>
    </w:rPr>
  </w:style>
  <w:style w:type="character" w:customStyle="1" w:styleId="Kop1Teken">
    <w:name w:val="Kop 1 Teken"/>
    <w:basedOn w:val="Standaardalinea-lettertype"/>
    <w:link w:val="Kop1"/>
    <w:uiPriority w:val="9"/>
    <w:rsid w:val="009F12CA"/>
    <w:rPr>
      <w:rFonts w:eastAsiaTheme="majorEastAsia" w:cstheme="majorBidi"/>
      <w:color w:val="000000" w:themeColor="text1"/>
      <w:szCs w:val="32"/>
      <w:lang w:val="en-GB"/>
    </w:rPr>
  </w:style>
  <w:style w:type="character" w:styleId="Hyperlink">
    <w:name w:val="Hyperlink"/>
    <w:basedOn w:val="Standaardalinea-lettertype"/>
    <w:uiPriority w:val="99"/>
    <w:unhideWhenUsed/>
    <w:rsid w:val="009F12C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8CBA22-2225-A94B-9469-654C03C391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786</Words>
  <Characters>4325</Characters>
  <Application>Microsoft Macintosh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5101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Filiz Korkmazer (FOD Justitie - SPF Justice)</dc:creator>
  <cp:keywords/>
  <dc:description/>
  <cp:lastModifiedBy>Microsoft Office-gebruiker</cp:lastModifiedBy>
  <cp:revision>103</cp:revision>
  <dcterms:created xsi:type="dcterms:W3CDTF">2019-10-18T10:25:00Z</dcterms:created>
  <dcterms:modified xsi:type="dcterms:W3CDTF">2021-10-05T20:22:00Z</dcterms:modified>
</cp:coreProperties>
</file>