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561EBCE3" w14:textId="77777777" w:rsidTr="00E17723">
        <w:tc>
          <w:tcPr>
            <w:tcW w:w="1980" w:type="dxa"/>
          </w:tcPr>
          <w:p w14:paraId="20AEBBC1" w14:textId="77777777" w:rsidR="000D42B6" w:rsidRPr="00B07AC9" w:rsidRDefault="000D42B6" w:rsidP="00120A76">
            <w:pPr>
              <w:rPr>
                <w:b/>
                <w:sz w:val="32"/>
                <w:szCs w:val="32"/>
                <w:lang w:val="nl-BE"/>
              </w:rPr>
            </w:pPr>
            <w:r w:rsidRPr="00B07AC9">
              <w:rPr>
                <w:b/>
                <w:sz w:val="32"/>
                <w:szCs w:val="32"/>
                <w:lang w:val="nl-BE"/>
              </w:rPr>
              <w:t xml:space="preserve">ARTIKEL </w:t>
            </w:r>
            <w:r w:rsidR="008145E3">
              <w:rPr>
                <w:b/>
                <w:sz w:val="32"/>
                <w:szCs w:val="32"/>
                <w:lang w:val="nl-BE"/>
              </w:rPr>
              <w:t>6:89</w:t>
            </w:r>
          </w:p>
        </w:tc>
        <w:tc>
          <w:tcPr>
            <w:tcW w:w="11765" w:type="dxa"/>
            <w:gridSpan w:val="2"/>
            <w:shd w:val="clear" w:color="auto" w:fill="auto"/>
          </w:tcPr>
          <w:p w14:paraId="6A659555" w14:textId="77777777" w:rsidR="000D42B6" w:rsidRPr="00382324" w:rsidRDefault="000D42B6" w:rsidP="00120A76">
            <w:pPr>
              <w:rPr>
                <w:rFonts w:asciiTheme="majorHAnsi" w:eastAsiaTheme="majorEastAsia" w:hAnsiTheme="majorHAnsi" w:cstheme="majorBidi"/>
                <w:b/>
                <w:bCs/>
                <w:color w:val="2E74B5" w:themeColor="accent1" w:themeShade="BF"/>
                <w:sz w:val="32"/>
                <w:szCs w:val="28"/>
                <w:lang w:val="nl-BE"/>
              </w:rPr>
            </w:pPr>
          </w:p>
        </w:tc>
      </w:tr>
      <w:tr w:rsidR="005D04AA" w:rsidRPr="00A70E0C" w14:paraId="27B3201F" w14:textId="77777777" w:rsidTr="009169CA">
        <w:tc>
          <w:tcPr>
            <w:tcW w:w="13745" w:type="dxa"/>
            <w:gridSpan w:val="3"/>
          </w:tcPr>
          <w:p w14:paraId="74413697" w14:textId="77777777" w:rsidR="005D04AA" w:rsidRDefault="005D04AA" w:rsidP="005D04AA">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04D82ECD" w14:textId="77777777" w:rsidR="005D04AA" w:rsidRDefault="005D04AA" w:rsidP="005D04AA">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74883055" w14:textId="77777777" w:rsidR="005D04AA" w:rsidRPr="005D04AA" w:rsidRDefault="005D04AA" w:rsidP="005D04AA">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A70E0C" w14:paraId="5E2F25B6" w14:textId="77777777" w:rsidTr="00E17723">
        <w:tc>
          <w:tcPr>
            <w:tcW w:w="1980" w:type="dxa"/>
          </w:tcPr>
          <w:p w14:paraId="1DE406D4" w14:textId="77777777" w:rsidR="005B33B1" w:rsidRPr="00B07AC9" w:rsidRDefault="005B33B1" w:rsidP="00120A76">
            <w:pPr>
              <w:rPr>
                <w:b/>
                <w:sz w:val="32"/>
                <w:szCs w:val="32"/>
                <w:lang w:val="nl-BE"/>
              </w:rPr>
            </w:pPr>
          </w:p>
        </w:tc>
        <w:tc>
          <w:tcPr>
            <w:tcW w:w="11765" w:type="dxa"/>
            <w:gridSpan w:val="2"/>
            <w:shd w:val="clear" w:color="auto" w:fill="auto"/>
          </w:tcPr>
          <w:p w14:paraId="4FE6A405" w14:textId="77777777" w:rsidR="005B33B1" w:rsidRPr="00382324" w:rsidRDefault="005B33B1" w:rsidP="00120A76">
            <w:pPr>
              <w:rPr>
                <w:rFonts w:asciiTheme="majorHAnsi" w:eastAsiaTheme="majorEastAsia" w:hAnsiTheme="majorHAnsi" w:cstheme="majorBidi"/>
                <w:b/>
                <w:bCs/>
                <w:color w:val="2E74B5" w:themeColor="accent1" w:themeShade="BF"/>
                <w:sz w:val="32"/>
                <w:szCs w:val="28"/>
                <w:lang w:val="nl-BE"/>
              </w:rPr>
            </w:pPr>
          </w:p>
        </w:tc>
      </w:tr>
      <w:tr w:rsidR="008145E3" w:rsidRPr="00E7067F" w14:paraId="47299BB8" w14:textId="77777777" w:rsidTr="004C78CF">
        <w:trPr>
          <w:trHeight w:val="803"/>
        </w:trPr>
        <w:tc>
          <w:tcPr>
            <w:tcW w:w="1980" w:type="dxa"/>
          </w:tcPr>
          <w:p w14:paraId="51C6A569" w14:textId="0B8C5355" w:rsidR="008145E3" w:rsidRDefault="008145E3" w:rsidP="00120A76">
            <w:pPr>
              <w:spacing w:after="0" w:line="240" w:lineRule="auto"/>
              <w:jc w:val="both"/>
              <w:rPr>
                <w:rFonts w:cs="Calibri"/>
                <w:lang w:val="nl-BE"/>
              </w:rPr>
            </w:pPr>
            <w:r w:rsidRPr="003F704A">
              <w:rPr>
                <w:rFonts w:cs="Calibri"/>
                <w:lang w:val="nl-BE"/>
              </w:rPr>
              <w:t>WVV</w:t>
            </w:r>
          </w:p>
        </w:tc>
        <w:tc>
          <w:tcPr>
            <w:tcW w:w="5812" w:type="dxa"/>
            <w:shd w:val="clear" w:color="auto" w:fill="auto"/>
          </w:tcPr>
          <w:p w14:paraId="4CC4955F" w14:textId="019B9A8F" w:rsidR="008145E3" w:rsidRPr="004F292E" w:rsidRDefault="004F292E" w:rsidP="00120A76">
            <w:pPr>
              <w:spacing w:after="0" w:line="240" w:lineRule="auto"/>
              <w:jc w:val="both"/>
              <w:rPr>
                <w:rStyle w:val="Hyperlink"/>
                <w:rFonts w:cstheme="minorHAnsi"/>
                <w:lang w:val="nl-BE"/>
              </w:rPr>
            </w:pPr>
            <w:r>
              <w:rPr>
                <w:rFonts w:cstheme="minorHAnsi"/>
                <w:lang w:val="nl-NL"/>
              </w:rPr>
              <w:fldChar w:fldCharType="begin"/>
            </w:r>
            <w:r>
              <w:rPr>
                <w:rFonts w:cstheme="minorHAnsi"/>
                <w:lang w:val="nl-NL"/>
              </w:rPr>
              <w:instrText xml:space="preserve"> HYPERLINK  \l "_Amendement_nr._542" </w:instrText>
            </w:r>
            <w:r>
              <w:rPr>
                <w:rFonts w:cstheme="minorHAnsi"/>
                <w:lang w:val="nl-NL"/>
              </w:rPr>
            </w:r>
            <w:r>
              <w:rPr>
                <w:rFonts w:cstheme="minorHAnsi"/>
                <w:lang w:val="nl-NL"/>
              </w:rPr>
              <w:fldChar w:fldCharType="separate"/>
            </w:r>
            <w:r w:rsidR="008145E3" w:rsidRPr="004F292E">
              <w:rPr>
                <w:rStyle w:val="Hyperlink"/>
                <w:rFonts w:cstheme="minorHAnsi"/>
                <w:lang w:val="nl-NL"/>
              </w:rPr>
              <w:t>§ 1. Minderheidsaandeelhouders kunnen voor rekening van de vennootschap een vordering tegen de leden van het bestuursorgaan instellen.</w:t>
            </w:r>
          </w:p>
          <w:p w14:paraId="2CA32A64" w14:textId="77777777" w:rsidR="008145E3" w:rsidRPr="004F292E" w:rsidRDefault="008145E3" w:rsidP="00120A76">
            <w:pPr>
              <w:spacing w:after="0" w:line="240" w:lineRule="auto"/>
              <w:jc w:val="both"/>
              <w:rPr>
                <w:rStyle w:val="Hyperlink"/>
                <w:rFonts w:cstheme="minorHAnsi"/>
                <w:lang w:val="nl-NL"/>
              </w:rPr>
            </w:pPr>
          </w:p>
          <w:p w14:paraId="0A9DFFBE" w14:textId="77777777" w:rsidR="008145E3" w:rsidRPr="004F292E" w:rsidRDefault="008145E3" w:rsidP="00120A76">
            <w:pPr>
              <w:spacing w:after="0" w:line="240" w:lineRule="auto"/>
              <w:jc w:val="both"/>
              <w:rPr>
                <w:rStyle w:val="Hyperlink"/>
                <w:rFonts w:cstheme="minorHAnsi"/>
                <w:lang w:val="nl-BE"/>
              </w:rPr>
            </w:pPr>
            <w:r w:rsidRPr="004F292E">
              <w:rPr>
                <w:rStyle w:val="Hyperlink"/>
                <w:rFonts w:cstheme="minorHAnsi"/>
                <w:lang w:val="nl-NL"/>
              </w:rPr>
              <w:t>Deze minderheidsaandeelhouders moeten, op de dag waarop de algemene vergadering zich uitspreekt over de aan de leden van het bestuursorgaan te verlenen kwijting, van ten minste 10 % van het aantal uitgegeven aandelen bezitten.</w:t>
            </w:r>
          </w:p>
          <w:p w14:paraId="6A68E573" w14:textId="77777777" w:rsidR="008145E3" w:rsidRPr="004F292E" w:rsidRDefault="008145E3" w:rsidP="00120A76">
            <w:pPr>
              <w:spacing w:after="0" w:line="240" w:lineRule="auto"/>
              <w:jc w:val="both"/>
              <w:rPr>
                <w:rStyle w:val="Hyperlink"/>
                <w:rFonts w:cstheme="minorHAnsi"/>
                <w:lang w:val="nl-BE"/>
              </w:rPr>
            </w:pPr>
          </w:p>
          <w:p w14:paraId="55376D47" w14:textId="77777777" w:rsidR="008145E3" w:rsidRPr="004F292E" w:rsidRDefault="008145E3" w:rsidP="00120A76">
            <w:pPr>
              <w:spacing w:after="0" w:line="240" w:lineRule="auto"/>
              <w:jc w:val="both"/>
              <w:rPr>
                <w:rStyle w:val="Hyperlink"/>
                <w:rFonts w:cstheme="minorHAnsi"/>
                <w:lang w:val="nl-NL"/>
              </w:rPr>
            </w:pPr>
            <w:r w:rsidRPr="004F292E">
              <w:rPr>
                <w:rStyle w:val="Hyperlink"/>
                <w:rFonts w:cstheme="minorHAnsi"/>
                <w:lang w:val="nl-NL"/>
              </w:rPr>
              <w:t>Aandeelhouders kunnen de vordering slechts instellen indien ze de kwijting niet of op een ongeldige wijze hebben goedgekeurd.</w:t>
            </w:r>
          </w:p>
          <w:p w14:paraId="4A682A56" w14:textId="77777777" w:rsidR="008145E3" w:rsidRPr="004F292E" w:rsidRDefault="008145E3" w:rsidP="00120A76">
            <w:pPr>
              <w:spacing w:after="0" w:line="240" w:lineRule="auto"/>
              <w:jc w:val="both"/>
              <w:rPr>
                <w:rStyle w:val="Hyperlink"/>
                <w:rFonts w:cstheme="minorHAnsi"/>
                <w:lang w:val="nl-NL"/>
              </w:rPr>
            </w:pPr>
          </w:p>
          <w:p w14:paraId="192D1483" w14:textId="77777777" w:rsidR="008145E3" w:rsidRPr="004F292E" w:rsidRDefault="008145E3" w:rsidP="00120A76">
            <w:pPr>
              <w:spacing w:after="0" w:line="240" w:lineRule="auto"/>
              <w:jc w:val="both"/>
              <w:rPr>
                <w:rStyle w:val="Hyperlink"/>
                <w:rFonts w:cstheme="minorHAnsi"/>
                <w:lang w:val="nl-BE"/>
              </w:rPr>
            </w:pPr>
            <w:r w:rsidRPr="004F292E">
              <w:rPr>
                <w:rStyle w:val="Hyperlink"/>
                <w:lang w:val="nl-BE"/>
              </w:rPr>
              <w:t>§ 2. Het feit dat tijdens de procedure één of meer aandeelhouders ophouden deel uit te maken van de groep van minderheidsaandeelhouders, hetzij omdat zij geen aandelen meer bezitten, hetzij omdat zij afzien van de vordering, heeft geen invloed op de voortzetting van de bedoelde procedure noch op de aanwending van de rechtsmiddelen.</w:t>
            </w:r>
          </w:p>
          <w:p w14:paraId="7178B550" w14:textId="77777777" w:rsidR="008145E3" w:rsidRPr="004F292E" w:rsidRDefault="008145E3" w:rsidP="00120A76">
            <w:pPr>
              <w:spacing w:after="0" w:line="240" w:lineRule="auto"/>
              <w:jc w:val="both"/>
              <w:rPr>
                <w:rStyle w:val="Hyperlink"/>
                <w:rFonts w:cstheme="minorHAnsi"/>
                <w:lang w:val="nl-NL"/>
              </w:rPr>
            </w:pPr>
          </w:p>
          <w:p w14:paraId="3ED0A218" w14:textId="77777777" w:rsidR="008145E3" w:rsidRPr="004F292E" w:rsidRDefault="008145E3" w:rsidP="00120A76">
            <w:pPr>
              <w:spacing w:after="0" w:line="240" w:lineRule="auto"/>
              <w:jc w:val="both"/>
              <w:rPr>
                <w:rStyle w:val="Hyperlink"/>
                <w:rFonts w:cstheme="minorHAnsi"/>
                <w:lang w:val="nl-NL"/>
              </w:rPr>
            </w:pPr>
            <w:r w:rsidRPr="004F292E">
              <w:rPr>
                <w:rStyle w:val="Hyperlink"/>
                <w:rFonts w:cstheme="minorHAnsi"/>
                <w:lang w:val="nl-NL"/>
              </w:rPr>
              <w:t xml:space="preserve">§ 3. Indien zowel de wettelijke vertegenwoordigers van de vennootschap als één of meer houders van effecten een vordering instellen tegen één of meerdere leden van het </w:t>
            </w:r>
            <w:r w:rsidRPr="004F292E">
              <w:rPr>
                <w:rStyle w:val="Hyperlink"/>
                <w:rFonts w:cstheme="minorHAnsi"/>
                <w:lang w:val="nl-NL"/>
              </w:rPr>
              <w:lastRenderedPageBreak/>
              <w:t>bestuursorgaan worden de vorderingen wegens hun samenhang samengevoegd.</w:t>
            </w:r>
          </w:p>
          <w:p w14:paraId="64E73913" w14:textId="77777777" w:rsidR="008145E3" w:rsidRPr="004F292E" w:rsidRDefault="008145E3" w:rsidP="00120A76">
            <w:pPr>
              <w:spacing w:after="0" w:line="240" w:lineRule="auto"/>
              <w:jc w:val="both"/>
              <w:rPr>
                <w:rStyle w:val="Hyperlink"/>
                <w:rFonts w:cstheme="minorHAnsi"/>
                <w:lang w:val="nl-NL"/>
              </w:rPr>
            </w:pPr>
          </w:p>
          <w:p w14:paraId="15857D40" w14:textId="77777777" w:rsidR="008145E3" w:rsidRPr="004F292E" w:rsidRDefault="008145E3" w:rsidP="00120A76">
            <w:pPr>
              <w:spacing w:after="0" w:line="240" w:lineRule="auto"/>
              <w:jc w:val="both"/>
              <w:rPr>
                <w:rStyle w:val="Hyperlink"/>
                <w:rFonts w:cstheme="minorHAnsi"/>
                <w:lang w:val="nl-BE"/>
              </w:rPr>
            </w:pPr>
            <w:r w:rsidRPr="004F292E">
              <w:rPr>
                <w:rStyle w:val="Hyperlink"/>
                <w:rFonts w:cstheme="minorHAnsi"/>
                <w:lang w:val="nl-NL"/>
              </w:rPr>
              <w:t>§ 4. Een dading aangegaan voordat de vordering is ingesteld kan nietig worden verklaard op verzoek van de aandeelhouders die voldoen aan de voorwaarden bepaald in paragraaf 1, indien de dading niet in het voordeel van alle aandeelhouders werd aangegaan.</w:t>
            </w:r>
          </w:p>
          <w:p w14:paraId="3D22B094" w14:textId="77777777" w:rsidR="008145E3" w:rsidRPr="004F292E" w:rsidRDefault="008145E3" w:rsidP="00120A76">
            <w:pPr>
              <w:spacing w:after="0" w:line="240" w:lineRule="auto"/>
              <w:jc w:val="both"/>
              <w:rPr>
                <w:rStyle w:val="Hyperlink"/>
                <w:rFonts w:cstheme="minorHAnsi"/>
                <w:lang w:val="nl-BE"/>
              </w:rPr>
            </w:pPr>
          </w:p>
          <w:p w14:paraId="76DCFDAC" w14:textId="5CA84370" w:rsidR="008145E3" w:rsidRPr="003F0290" w:rsidRDefault="008145E3" w:rsidP="00120A76">
            <w:pPr>
              <w:spacing w:after="0" w:line="240" w:lineRule="auto"/>
              <w:jc w:val="both"/>
              <w:rPr>
                <w:rFonts w:cstheme="minorHAnsi"/>
                <w:lang w:val="nl-BE"/>
              </w:rPr>
            </w:pPr>
            <w:r w:rsidRPr="004F292E">
              <w:rPr>
                <w:rStyle w:val="Hyperlink"/>
                <w:rFonts w:cstheme="minorHAnsi"/>
                <w:lang w:val="nl-NL"/>
              </w:rPr>
              <w:t>Is de vordering ingesteld, dan kan de vennootschap geen dading meer aangaan met de gedaagde leden van het bestuursorgaan zonder de eenparige instemming van degenen die eiser blijven van de vordering.</w:t>
            </w:r>
            <w:r w:rsidR="004F292E">
              <w:rPr>
                <w:rFonts w:cstheme="minorHAnsi"/>
                <w:lang w:val="nl-NL"/>
              </w:rPr>
              <w:fldChar w:fldCharType="end"/>
            </w:r>
          </w:p>
        </w:tc>
        <w:tc>
          <w:tcPr>
            <w:tcW w:w="5953" w:type="dxa"/>
            <w:shd w:val="clear" w:color="auto" w:fill="auto"/>
          </w:tcPr>
          <w:p w14:paraId="16FC9C82" w14:textId="5199BF48" w:rsidR="008145E3" w:rsidRPr="004F292E" w:rsidRDefault="004F292E" w:rsidP="00120A76">
            <w:pPr>
              <w:spacing w:after="0" w:line="240" w:lineRule="auto"/>
              <w:jc w:val="both"/>
              <w:rPr>
                <w:rStyle w:val="Hyperlink"/>
                <w:rFonts w:cstheme="minorHAnsi"/>
                <w:lang w:val="fr-FR"/>
              </w:rPr>
            </w:pPr>
            <w:r>
              <w:rPr>
                <w:rFonts w:cstheme="minorHAnsi"/>
                <w:lang w:val="fr-BE"/>
              </w:rPr>
              <w:lastRenderedPageBreak/>
              <w:fldChar w:fldCharType="begin"/>
            </w:r>
            <w:r>
              <w:rPr>
                <w:rFonts w:cstheme="minorHAnsi"/>
                <w:lang w:val="fr-BE"/>
              </w:rPr>
              <w:instrText xml:space="preserve"> HYPERLINK  \l "_Amendement_nr._542_1" </w:instrText>
            </w:r>
            <w:r>
              <w:rPr>
                <w:rFonts w:cstheme="minorHAnsi"/>
                <w:lang w:val="fr-BE"/>
              </w:rPr>
            </w:r>
            <w:r>
              <w:rPr>
                <w:rFonts w:cstheme="minorHAnsi"/>
                <w:lang w:val="fr-BE"/>
              </w:rPr>
              <w:fldChar w:fldCharType="separate"/>
            </w:r>
            <w:r w:rsidR="008145E3" w:rsidRPr="004F292E">
              <w:rPr>
                <w:rStyle w:val="Hyperlink"/>
                <w:rFonts w:cstheme="minorHAnsi"/>
                <w:lang w:val="fr-BE"/>
              </w:rPr>
              <w:t>§ 1</w:t>
            </w:r>
            <w:r w:rsidR="008145E3" w:rsidRPr="004F292E">
              <w:rPr>
                <w:rStyle w:val="Hyperlink"/>
                <w:rFonts w:cstheme="minorHAnsi"/>
                <w:vertAlign w:val="superscript"/>
                <w:lang w:val="fr-BE"/>
              </w:rPr>
              <w:t>er</w:t>
            </w:r>
            <w:r w:rsidR="008145E3" w:rsidRPr="004F292E">
              <w:rPr>
                <w:rStyle w:val="Hyperlink"/>
                <w:rFonts w:cstheme="minorHAnsi"/>
                <w:lang w:val="fr-BE"/>
              </w:rPr>
              <w:t>. Les actionnaires minoritaires peuvent intenter pour le compte de la société une action contre les membres de l’organe d’administration.</w:t>
            </w:r>
          </w:p>
          <w:p w14:paraId="740CE5CA" w14:textId="77777777" w:rsidR="008145E3" w:rsidRPr="004F292E" w:rsidRDefault="008145E3" w:rsidP="00120A76">
            <w:pPr>
              <w:spacing w:after="0" w:line="240" w:lineRule="auto"/>
              <w:jc w:val="both"/>
              <w:rPr>
                <w:rStyle w:val="Hyperlink"/>
                <w:rFonts w:cstheme="minorHAnsi"/>
                <w:lang w:val="fr-BE"/>
              </w:rPr>
            </w:pPr>
          </w:p>
          <w:p w14:paraId="2DD869EC" w14:textId="77777777" w:rsidR="008145E3" w:rsidRPr="004F292E" w:rsidRDefault="008145E3" w:rsidP="00120A76">
            <w:pPr>
              <w:spacing w:after="0" w:line="240" w:lineRule="auto"/>
              <w:jc w:val="both"/>
              <w:rPr>
                <w:rStyle w:val="Hyperlink"/>
                <w:rFonts w:cstheme="minorHAnsi"/>
                <w:lang w:val="fr-BE"/>
              </w:rPr>
            </w:pPr>
            <w:r w:rsidRPr="004F292E">
              <w:rPr>
                <w:rStyle w:val="Hyperlink"/>
                <w:rFonts w:cstheme="minorHAnsi"/>
                <w:lang w:val="fr-BE"/>
              </w:rPr>
              <w:t>Les actionnaires minoritaires doivent, au jour de l’assemblée générale qui se prononce sur la décharge des membres de l’organe d’administration, posséder au moins 10 % du nombre d’actions émises.</w:t>
            </w:r>
          </w:p>
          <w:p w14:paraId="6264602B" w14:textId="77777777" w:rsidR="008145E3" w:rsidRPr="004F292E" w:rsidRDefault="008145E3" w:rsidP="00120A76">
            <w:pPr>
              <w:spacing w:after="0" w:line="240" w:lineRule="auto"/>
              <w:jc w:val="both"/>
              <w:rPr>
                <w:rStyle w:val="Hyperlink"/>
                <w:rFonts w:cstheme="minorHAnsi"/>
                <w:lang w:val="fr-BE"/>
              </w:rPr>
            </w:pPr>
          </w:p>
          <w:p w14:paraId="3FCA3EDE" w14:textId="77777777" w:rsidR="008145E3" w:rsidRPr="004F292E" w:rsidRDefault="008145E3" w:rsidP="00120A76">
            <w:pPr>
              <w:spacing w:after="0" w:line="240" w:lineRule="auto"/>
              <w:jc w:val="both"/>
              <w:rPr>
                <w:rStyle w:val="Hyperlink"/>
                <w:rFonts w:cstheme="minorHAnsi"/>
                <w:lang w:val="fr-BE"/>
              </w:rPr>
            </w:pPr>
            <w:r w:rsidRPr="004F292E">
              <w:rPr>
                <w:rStyle w:val="Hyperlink"/>
                <w:rFonts w:cstheme="minorHAnsi"/>
                <w:lang w:val="fr-BE"/>
              </w:rPr>
              <w:t>Les actionnaires ne peuvent intenter l’action que s’ils n’ont pas approuvé la décharge ou s’ils ne l’ont pas valablement approuvée.</w:t>
            </w:r>
          </w:p>
          <w:p w14:paraId="4CDA9E0B" w14:textId="77777777" w:rsidR="008145E3" w:rsidRPr="004F292E" w:rsidRDefault="008145E3" w:rsidP="00120A76">
            <w:pPr>
              <w:spacing w:after="0" w:line="240" w:lineRule="auto"/>
              <w:jc w:val="both"/>
              <w:rPr>
                <w:rStyle w:val="Hyperlink"/>
                <w:rFonts w:cstheme="minorHAnsi"/>
                <w:lang w:val="fr-BE"/>
              </w:rPr>
            </w:pPr>
          </w:p>
          <w:p w14:paraId="79EDEC33" w14:textId="77777777" w:rsidR="008145E3" w:rsidRPr="004F292E" w:rsidRDefault="008145E3" w:rsidP="00120A76">
            <w:pPr>
              <w:spacing w:after="0" w:line="240" w:lineRule="auto"/>
              <w:jc w:val="both"/>
              <w:rPr>
                <w:rStyle w:val="Hyperlink"/>
                <w:rFonts w:cstheme="minorHAnsi"/>
                <w:lang w:val="fr-FR"/>
              </w:rPr>
            </w:pPr>
            <w:r w:rsidRPr="004F292E">
              <w:rPr>
                <w:rStyle w:val="Hyperlink"/>
                <w:lang w:val="fr-FR"/>
              </w:rPr>
              <w:t>§ 2. Le fait qu'en cours d'instance, un ou plusieurs actionnaires cessent de faire partie du groupe d'actionnaires minoritaires, soit parce qu'ils ne possèdent plus d'actions, soit parce qu'ils renoncent à participer à l'action, est sans effet sur la poursuite de ladite instance ou sur l'exercice des voies de recours.</w:t>
            </w:r>
          </w:p>
          <w:p w14:paraId="378B696C" w14:textId="77777777" w:rsidR="008145E3" w:rsidRPr="004F292E" w:rsidRDefault="008145E3" w:rsidP="00120A76">
            <w:pPr>
              <w:spacing w:after="0" w:line="240" w:lineRule="auto"/>
              <w:jc w:val="both"/>
              <w:rPr>
                <w:rStyle w:val="Hyperlink"/>
                <w:rFonts w:cstheme="minorHAnsi"/>
                <w:lang w:val="fr-BE"/>
              </w:rPr>
            </w:pPr>
          </w:p>
          <w:p w14:paraId="7A5828AD" w14:textId="77777777" w:rsidR="008145E3" w:rsidRPr="004F292E" w:rsidRDefault="008145E3" w:rsidP="00120A76">
            <w:pPr>
              <w:spacing w:after="0" w:line="240" w:lineRule="auto"/>
              <w:jc w:val="both"/>
              <w:rPr>
                <w:rStyle w:val="Hyperlink"/>
                <w:rFonts w:cstheme="minorHAnsi"/>
                <w:lang w:val="fr-BE"/>
              </w:rPr>
            </w:pPr>
            <w:r w:rsidRPr="004F292E">
              <w:rPr>
                <w:rStyle w:val="Hyperlink"/>
                <w:rFonts w:cstheme="minorHAnsi"/>
                <w:lang w:val="fr-BE"/>
              </w:rPr>
              <w:t>§ 3. Si tant les représentants légaux de la société qu’un ou plusieurs titulaires de titres intentent une action contre un ou plusieurs membres de l’organe d’administration, les demandes sont jointes pour connexité.</w:t>
            </w:r>
          </w:p>
          <w:p w14:paraId="231D69E3" w14:textId="77777777" w:rsidR="008145E3" w:rsidRPr="004F292E" w:rsidRDefault="008145E3" w:rsidP="00120A76">
            <w:pPr>
              <w:spacing w:after="0" w:line="240" w:lineRule="auto"/>
              <w:jc w:val="both"/>
              <w:rPr>
                <w:rStyle w:val="Hyperlink"/>
                <w:rFonts w:cstheme="minorHAnsi"/>
                <w:lang w:val="fr-BE"/>
              </w:rPr>
            </w:pPr>
          </w:p>
          <w:p w14:paraId="3A73F8D1" w14:textId="77777777" w:rsidR="008145E3" w:rsidRPr="004F292E" w:rsidRDefault="008145E3" w:rsidP="00120A76">
            <w:pPr>
              <w:pStyle w:val="Geenafstand"/>
              <w:jc w:val="both"/>
              <w:rPr>
                <w:rStyle w:val="Hyperlink"/>
                <w:rFonts w:cstheme="minorHAnsi"/>
                <w:lang w:val="fr-BE"/>
              </w:rPr>
            </w:pPr>
            <w:r w:rsidRPr="004F292E">
              <w:rPr>
                <w:rStyle w:val="Hyperlink"/>
                <w:rFonts w:cstheme="minorHAnsi"/>
                <w:lang w:val="fr-BE"/>
              </w:rPr>
              <w:lastRenderedPageBreak/>
              <w:t>§ 4. Toute transaction conclue avant que l’action ait été intentée peut être annulée à la demande des actionnaires réunissant les conditions prévues au paragraphe 1</w:t>
            </w:r>
            <w:r w:rsidRPr="004F292E">
              <w:rPr>
                <w:rStyle w:val="Hyperlink"/>
                <w:rFonts w:cstheme="minorHAnsi"/>
                <w:vertAlign w:val="superscript"/>
                <w:lang w:val="fr-BE"/>
              </w:rPr>
              <w:t>er</w:t>
            </w:r>
            <w:r w:rsidRPr="004F292E">
              <w:rPr>
                <w:rStyle w:val="Hyperlink"/>
                <w:rFonts w:cstheme="minorHAnsi"/>
                <w:lang w:val="fr-BE"/>
              </w:rPr>
              <w:t xml:space="preserve"> si elle n’a point été faite à l’avantage de tous les actionnaires.</w:t>
            </w:r>
          </w:p>
          <w:p w14:paraId="0E1D2B1E" w14:textId="77777777" w:rsidR="008145E3" w:rsidRPr="004F292E" w:rsidRDefault="008145E3" w:rsidP="00120A76">
            <w:pPr>
              <w:pStyle w:val="Geenafstand"/>
              <w:jc w:val="both"/>
              <w:rPr>
                <w:rStyle w:val="Hyperlink"/>
                <w:rFonts w:cstheme="minorHAnsi"/>
                <w:lang w:val="fr-BE"/>
              </w:rPr>
            </w:pPr>
          </w:p>
          <w:p w14:paraId="100BD26D" w14:textId="77777777" w:rsidR="008145E3" w:rsidRPr="004F292E" w:rsidRDefault="008145E3" w:rsidP="00120A76">
            <w:pPr>
              <w:pStyle w:val="Geenafstand"/>
              <w:jc w:val="both"/>
              <w:rPr>
                <w:rStyle w:val="Hyperlink"/>
                <w:rFonts w:cstheme="minorHAnsi"/>
                <w:lang w:val="fr-BE"/>
              </w:rPr>
            </w:pPr>
            <w:r w:rsidRPr="004F292E">
              <w:rPr>
                <w:rStyle w:val="Hyperlink"/>
                <w:rFonts w:cstheme="minorHAnsi"/>
                <w:lang w:val="fr-BE"/>
              </w:rPr>
              <w:t>Une fois l’action intentée, la société ne peut plus alors transiger avec les membres de l’organe d’administration assignés sans le consentement unanime de ceux qui demeurent demandeurs de l’action.</w:t>
            </w:r>
          </w:p>
          <w:p w14:paraId="30945FBD" w14:textId="7F8CD039" w:rsidR="008145E3" w:rsidRPr="003F0290" w:rsidRDefault="004F292E" w:rsidP="00120A76">
            <w:pPr>
              <w:spacing w:after="0"/>
              <w:rPr>
                <w:rFonts w:cstheme="minorHAnsi"/>
                <w:lang w:val="fr-BE"/>
              </w:rPr>
            </w:pPr>
            <w:r>
              <w:rPr>
                <w:rFonts w:cstheme="minorHAnsi"/>
                <w:lang w:val="fr-BE"/>
              </w:rPr>
              <w:fldChar w:fldCharType="end"/>
            </w:r>
          </w:p>
        </w:tc>
      </w:tr>
      <w:tr w:rsidR="00727E17" w:rsidRPr="00727E17" w14:paraId="04088EE8" w14:textId="77777777" w:rsidTr="00727E17">
        <w:trPr>
          <w:trHeight w:val="353"/>
        </w:trPr>
        <w:tc>
          <w:tcPr>
            <w:tcW w:w="1980" w:type="dxa"/>
          </w:tcPr>
          <w:p w14:paraId="5C0D5428" w14:textId="121A64E8" w:rsidR="00727E17" w:rsidRDefault="003F704A" w:rsidP="00120A76">
            <w:pPr>
              <w:spacing w:after="0" w:line="240" w:lineRule="auto"/>
              <w:jc w:val="both"/>
              <w:rPr>
                <w:rFonts w:cs="Calibri"/>
                <w:lang w:val="nl-BE"/>
              </w:rPr>
            </w:pPr>
            <w:hyperlink r:id="rId8" w:history="1">
              <w:r w:rsidR="00727E17" w:rsidRPr="00A70E0C">
                <w:rPr>
                  <w:rStyle w:val="Hyperlink"/>
                </w:rPr>
                <w:t>Ontwerp</w:t>
              </w:r>
            </w:hyperlink>
          </w:p>
        </w:tc>
        <w:tc>
          <w:tcPr>
            <w:tcW w:w="5812" w:type="dxa"/>
            <w:shd w:val="clear" w:color="auto" w:fill="auto"/>
          </w:tcPr>
          <w:p w14:paraId="06625C13" w14:textId="72B8EAA7" w:rsidR="00727E17" w:rsidRPr="00D41C14" w:rsidRDefault="00727E17" w:rsidP="00120A76">
            <w:pPr>
              <w:spacing w:after="0" w:line="240" w:lineRule="auto"/>
              <w:jc w:val="both"/>
              <w:rPr>
                <w:rFonts w:cstheme="minorHAnsi"/>
                <w:lang w:val="nl-NL"/>
              </w:rPr>
            </w:pPr>
            <w:r w:rsidRPr="0089316C">
              <w:t>Geen artikel</w:t>
            </w:r>
            <w:r>
              <w:t>.</w:t>
            </w:r>
          </w:p>
        </w:tc>
        <w:tc>
          <w:tcPr>
            <w:tcW w:w="5953" w:type="dxa"/>
            <w:shd w:val="clear" w:color="auto" w:fill="auto"/>
          </w:tcPr>
          <w:p w14:paraId="0672FAB4" w14:textId="3B0EFBFC" w:rsidR="00727E17" w:rsidRPr="00D41C14" w:rsidRDefault="00727E17" w:rsidP="00120A76">
            <w:pPr>
              <w:spacing w:after="0" w:line="240" w:lineRule="auto"/>
              <w:jc w:val="both"/>
              <w:rPr>
                <w:rFonts w:cstheme="minorHAnsi"/>
                <w:lang w:val="fr-BE"/>
              </w:rPr>
            </w:pPr>
            <w:r>
              <w:t>Pas d’article.</w:t>
            </w:r>
          </w:p>
        </w:tc>
      </w:tr>
      <w:tr w:rsidR="00727E17" w:rsidRPr="00844864" w14:paraId="591AFCC8" w14:textId="77777777" w:rsidTr="004C78CF">
        <w:trPr>
          <w:trHeight w:val="370"/>
        </w:trPr>
        <w:tc>
          <w:tcPr>
            <w:tcW w:w="1980" w:type="dxa"/>
          </w:tcPr>
          <w:p w14:paraId="2247B551" w14:textId="5466F452" w:rsidR="00727E17" w:rsidRPr="00844864" w:rsidRDefault="003F704A" w:rsidP="00120A76">
            <w:pPr>
              <w:spacing w:after="0" w:line="240" w:lineRule="auto"/>
              <w:jc w:val="both"/>
              <w:rPr>
                <w:rFonts w:cs="Calibri"/>
                <w:lang w:val="fr-FR"/>
              </w:rPr>
            </w:pPr>
            <w:hyperlink r:id="rId9" w:history="1">
              <w:r w:rsidR="00727E17" w:rsidRPr="00217C8E">
                <w:rPr>
                  <w:rStyle w:val="Hyperlink"/>
                  <w:rFonts w:cs="Calibri"/>
                  <w:lang w:val="fr-FR"/>
                </w:rPr>
                <w:t>Voorontwerp</w:t>
              </w:r>
            </w:hyperlink>
          </w:p>
        </w:tc>
        <w:tc>
          <w:tcPr>
            <w:tcW w:w="5812" w:type="dxa"/>
            <w:shd w:val="clear" w:color="auto" w:fill="auto"/>
          </w:tcPr>
          <w:p w14:paraId="3403A53D" w14:textId="77777777" w:rsidR="00727E17" w:rsidRPr="00844864" w:rsidRDefault="00727E17" w:rsidP="00120A76">
            <w:pPr>
              <w:spacing w:after="0" w:line="240" w:lineRule="auto"/>
              <w:jc w:val="both"/>
              <w:rPr>
                <w:rFonts w:cstheme="minorHAnsi"/>
                <w:lang w:val="fr-FR"/>
              </w:rPr>
            </w:pPr>
            <w:r>
              <w:rPr>
                <w:rFonts w:cstheme="minorHAnsi"/>
                <w:lang w:val="fr-FR"/>
              </w:rPr>
              <w:t>Geen artikel.</w:t>
            </w:r>
          </w:p>
        </w:tc>
        <w:tc>
          <w:tcPr>
            <w:tcW w:w="5953" w:type="dxa"/>
            <w:shd w:val="clear" w:color="auto" w:fill="auto"/>
          </w:tcPr>
          <w:p w14:paraId="0AE6F393" w14:textId="77777777" w:rsidR="00727E17" w:rsidRPr="00D41C14" w:rsidRDefault="00727E17" w:rsidP="00120A76">
            <w:pPr>
              <w:spacing w:after="0" w:line="240" w:lineRule="auto"/>
              <w:jc w:val="both"/>
              <w:rPr>
                <w:rFonts w:cstheme="minorHAnsi"/>
                <w:lang w:val="fr-BE"/>
              </w:rPr>
            </w:pPr>
            <w:r>
              <w:rPr>
                <w:rFonts w:cstheme="minorHAnsi"/>
                <w:lang w:val="fr-BE"/>
              </w:rPr>
              <w:t>Pas d’article.</w:t>
            </w:r>
          </w:p>
        </w:tc>
      </w:tr>
      <w:tr w:rsidR="00727E17" w:rsidRPr="00844864" w14:paraId="778F0394" w14:textId="77777777" w:rsidTr="00120A76">
        <w:trPr>
          <w:trHeight w:val="411"/>
        </w:trPr>
        <w:tc>
          <w:tcPr>
            <w:tcW w:w="1980" w:type="dxa"/>
          </w:tcPr>
          <w:p w14:paraId="4BC8928F" w14:textId="734D39F1" w:rsidR="00727E17" w:rsidRPr="0089316C" w:rsidRDefault="003F704A" w:rsidP="00120A76">
            <w:pPr>
              <w:spacing w:after="0"/>
            </w:pPr>
            <w:hyperlink r:id="rId10" w:history="1">
              <w:r w:rsidR="00727E17" w:rsidRPr="00896254">
                <w:rPr>
                  <w:rStyle w:val="Hyperlink"/>
                </w:rPr>
                <w:t>MvT</w:t>
              </w:r>
            </w:hyperlink>
          </w:p>
        </w:tc>
        <w:tc>
          <w:tcPr>
            <w:tcW w:w="5812" w:type="dxa"/>
            <w:shd w:val="clear" w:color="auto" w:fill="auto"/>
          </w:tcPr>
          <w:p w14:paraId="68AB4CEA" w14:textId="77777777" w:rsidR="00727E17" w:rsidRPr="00063E4F" w:rsidRDefault="00727E17" w:rsidP="00120A76">
            <w:pPr>
              <w:spacing w:after="0"/>
            </w:pPr>
            <w:r>
              <w:t>Geen opmerkingen.</w:t>
            </w:r>
          </w:p>
        </w:tc>
        <w:tc>
          <w:tcPr>
            <w:tcW w:w="5953" w:type="dxa"/>
            <w:shd w:val="clear" w:color="auto" w:fill="auto"/>
          </w:tcPr>
          <w:p w14:paraId="0EB2AC77" w14:textId="77777777" w:rsidR="00727E17" w:rsidRPr="00063E4F" w:rsidRDefault="00727E17" w:rsidP="00120A76">
            <w:pPr>
              <w:spacing w:after="0"/>
            </w:pPr>
            <w:r>
              <w:t>Pas de remarques.</w:t>
            </w:r>
          </w:p>
        </w:tc>
      </w:tr>
      <w:tr w:rsidR="00727E17" w:rsidRPr="00844864" w14:paraId="3AF5C4D3" w14:textId="77777777" w:rsidTr="00120A76">
        <w:trPr>
          <w:trHeight w:val="416"/>
        </w:trPr>
        <w:tc>
          <w:tcPr>
            <w:tcW w:w="1980" w:type="dxa"/>
          </w:tcPr>
          <w:p w14:paraId="4489475E" w14:textId="69CA1F75" w:rsidR="00727E17" w:rsidRPr="0089316C" w:rsidRDefault="00E411D6" w:rsidP="00120A76">
            <w:pPr>
              <w:spacing w:after="0"/>
            </w:pPr>
            <w:hyperlink r:id="rId11" w:history="1">
              <w:r w:rsidR="00727E17" w:rsidRPr="00E411D6">
                <w:rPr>
                  <w:rStyle w:val="Hyperlink"/>
                </w:rPr>
                <w:t>RvSt</w:t>
              </w:r>
            </w:hyperlink>
          </w:p>
        </w:tc>
        <w:tc>
          <w:tcPr>
            <w:tcW w:w="5812" w:type="dxa"/>
            <w:shd w:val="clear" w:color="auto" w:fill="auto"/>
          </w:tcPr>
          <w:p w14:paraId="6183ABB3" w14:textId="77777777" w:rsidR="00727E17" w:rsidRPr="00063E4F" w:rsidRDefault="00727E17" w:rsidP="00120A76">
            <w:pPr>
              <w:spacing w:after="0"/>
            </w:pPr>
            <w:r>
              <w:t>Geen opmerkingen.</w:t>
            </w:r>
          </w:p>
        </w:tc>
        <w:tc>
          <w:tcPr>
            <w:tcW w:w="5953" w:type="dxa"/>
            <w:shd w:val="clear" w:color="auto" w:fill="auto"/>
          </w:tcPr>
          <w:p w14:paraId="135EE7F8" w14:textId="77777777" w:rsidR="00727E17" w:rsidRPr="00063E4F" w:rsidRDefault="00727E17" w:rsidP="00120A76">
            <w:pPr>
              <w:spacing w:after="0"/>
            </w:pPr>
            <w:r>
              <w:t>Pas de remarques.</w:t>
            </w:r>
          </w:p>
        </w:tc>
      </w:tr>
      <w:tr w:rsidR="00F5338B" w:rsidRPr="003254E3" w14:paraId="15A7CBF4" w14:textId="77777777" w:rsidTr="00120A76">
        <w:trPr>
          <w:trHeight w:val="416"/>
        </w:trPr>
        <w:tc>
          <w:tcPr>
            <w:tcW w:w="1980" w:type="dxa"/>
          </w:tcPr>
          <w:p w14:paraId="689CA589" w14:textId="61481925" w:rsidR="00F5338B" w:rsidRDefault="00F5338B" w:rsidP="003941DF">
            <w:pPr>
              <w:pStyle w:val="Kop1"/>
            </w:pPr>
            <w:bookmarkStart w:id="0" w:name="_Amendement_nr._542"/>
            <w:bookmarkStart w:id="1" w:name="_Amendement_nr._542_1"/>
            <w:bookmarkEnd w:id="0"/>
            <w:bookmarkEnd w:id="1"/>
            <w:r>
              <w:t>Amendement nr. 542</w:t>
            </w:r>
          </w:p>
        </w:tc>
        <w:tc>
          <w:tcPr>
            <w:tcW w:w="5812" w:type="dxa"/>
            <w:shd w:val="clear" w:color="auto" w:fill="auto"/>
          </w:tcPr>
          <w:p w14:paraId="5C87705B" w14:textId="6A931724" w:rsidR="00F5338B" w:rsidRPr="00930465" w:rsidRDefault="00930465" w:rsidP="00930465">
            <w:pPr>
              <w:spacing w:after="0"/>
              <w:jc w:val="both"/>
              <w:rPr>
                <w:lang w:val="nl-NL"/>
              </w:rPr>
            </w:pPr>
            <w:r w:rsidRPr="00930465">
              <w:rPr>
                <w:lang w:val="nl-NL"/>
              </w:rPr>
              <w:t xml:space="preserve">De tekst is een overeenkomstige herneming van artikel 5:104 aangepast aan de effecten die een CV kan uitgeven. </w:t>
            </w:r>
          </w:p>
        </w:tc>
        <w:tc>
          <w:tcPr>
            <w:tcW w:w="5953" w:type="dxa"/>
            <w:shd w:val="clear" w:color="auto" w:fill="auto"/>
          </w:tcPr>
          <w:p w14:paraId="52EE2900" w14:textId="3A465FAD" w:rsidR="00F5338B" w:rsidRPr="003254E3" w:rsidRDefault="003254E3" w:rsidP="003254E3">
            <w:pPr>
              <w:spacing w:after="0"/>
              <w:jc w:val="both"/>
              <w:rPr>
                <w:lang w:val="fr-FR"/>
              </w:rPr>
            </w:pPr>
            <w:r w:rsidRPr="003254E3">
              <w:rPr>
                <w:lang w:val="fr-FR"/>
              </w:rPr>
              <w:t xml:space="preserve">Le texte est une reprise conforme de l’article 5:104, adapté aux titres que peut émettre une SC. </w:t>
            </w:r>
          </w:p>
        </w:tc>
      </w:tr>
    </w:tbl>
    <w:p w14:paraId="018CA12E"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5259" w14:textId="77777777" w:rsidR="007C2147" w:rsidRDefault="007C2147" w:rsidP="000D42B6">
      <w:pPr>
        <w:spacing w:after="0" w:line="240" w:lineRule="auto"/>
      </w:pPr>
      <w:r>
        <w:separator/>
      </w:r>
    </w:p>
  </w:endnote>
  <w:endnote w:type="continuationSeparator" w:id="0">
    <w:p w14:paraId="760AE9CE" w14:textId="77777777" w:rsidR="007C2147" w:rsidRDefault="007C2147"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D07E" w14:textId="77777777" w:rsidR="007C2147" w:rsidRDefault="007C2147" w:rsidP="000D42B6">
      <w:pPr>
        <w:spacing w:after="0" w:line="240" w:lineRule="auto"/>
      </w:pPr>
      <w:r>
        <w:separator/>
      </w:r>
    </w:p>
  </w:footnote>
  <w:footnote w:type="continuationSeparator" w:id="0">
    <w:p w14:paraId="1F63CA85" w14:textId="77777777" w:rsidR="007C2147" w:rsidRDefault="007C2147" w:rsidP="000D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347E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7687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0452"/>
    <w:rsid w:val="00034AA1"/>
    <w:rsid w:val="00045500"/>
    <w:rsid w:val="00047A70"/>
    <w:rsid w:val="00053660"/>
    <w:rsid w:val="0006172F"/>
    <w:rsid w:val="000676A1"/>
    <w:rsid w:val="00077EBB"/>
    <w:rsid w:val="00083B1B"/>
    <w:rsid w:val="000923F2"/>
    <w:rsid w:val="000B434D"/>
    <w:rsid w:val="000D42B6"/>
    <w:rsid w:val="00101EDC"/>
    <w:rsid w:val="00120A76"/>
    <w:rsid w:val="00153A4F"/>
    <w:rsid w:val="001777AA"/>
    <w:rsid w:val="00183242"/>
    <w:rsid w:val="001A0A02"/>
    <w:rsid w:val="001C4D4C"/>
    <w:rsid w:val="001F6206"/>
    <w:rsid w:val="001F70DD"/>
    <w:rsid w:val="00200CB2"/>
    <w:rsid w:val="00202051"/>
    <w:rsid w:val="00217C8E"/>
    <w:rsid w:val="00266AFF"/>
    <w:rsid w:val="00272BA1"/>
    <w:rsid w:val="002B16AC"/>
    <w:rsid w:val="002E2C50"/>
    <w:rsid w:val="002F3F41"/>
    <w:rsid w:val="00300269"/>
    <w:rsid w:val="00311F1A"/>
    <w:rsid w:val="003254E3"/>
    <w:rsid w:val="00361C46"/>
    <w:rsid w:val="00392D3D"/>
    <w:rsid w:val="00393BDA"/>
    <w:rsid w:val="003941DF"/>
    <w:rsid w:val="003A6021"/>
    <w:rsid w:val="003B05A2"/>
    <w:rsid w:val="003B77F3"/>
    <w:rsid w:val="003D46FE"/>
    <w:rsid w:val="003D55CF"/>
    <w:rsid w:val="003F5AEA"/>
    <w:rsid w:val="003F704A"/>
    <w:rsid w:val="004148F6"/>
    <w:rsid w:val="00417C7D"/>
    <w:rsid w:val="00427696"/>
    <w:rsid w:val="0044028C"/>
    <w:rsid w:val="00445434"/>
    <w:rsid w:val="00475FC8"/>
    <w:rsid w:val="00477E93"/>
    <w:rsid w:val="00480DD0"/>
    <w:rsid w:val="00482090"/>
    <w:rsid w:val="004C78CF"/>
    <w:rsid w:val="004F292E"/>
    <w:rsid w:val="00503582"/>
    <w:rsid w:val="00512C24"/>
    <w:rsid w:val="0052140A"/>
    <w:rsid w:val="005407B7"/>
    <w:rsid w:val="00552278"/>
    <w:rsid w:val="00560C08"/>
    <w:rsid w:val="0056512F"/>
    <w:rsid w:val="0057031D"/>
    <w:rsid w:val="005974AD"/>
    <w:rsid w:val="005A0621"/>
    <w:rsid w:val="005B33B1"/>
    <w:rsid w:val="005D04AA"/>
    <w:rsid w:val="006170A4"/>
    <w:rsid w:val="00630590"/>
    <w:rsid w:val="00642F57"/>
    <w:rsid w:val="00665133"/>
    <w:rsid w:val="006F2B94"/>
    <w:rsid w:val="007061E6"/>
    <w:rsid w:val="00727E17"/>
    <w:rsid w:val="007316C7"/>
    <w:rsid w:val="0078377D"/>
    <w:rsid w:val="007A6A5E"/>
    <w:rsid w:val="007B29A3"/>
    <w:rsid w:val="007C2147"/>
    <w:rsid w:val="007D19C2"/>
    <w:rsid w:val="008145E3"/>
    <w:rsid w:val="00844864"/>
    <w:rsid w:val="00871559"/>
    <w:rsid w:val="008849AC"/>
    <w:rsid w:val="00896254"/>
    <w:rsid w:val="008A299A"/>
    <w:rsid w:val="008B2F1F"/>
    <w:rsid w:val="008D169B"/>
    <w:rsid w:val="00916F5F"/>
    <w:rsid w:val="00930465"/>
    <w:rsid w:val="00950791"/>
    <w:rsid w:val="00950DFB"/>
    <w:rsid w:val="009662AF"/>
    <w:rsid w:val="00985EF6"/>
    <w:rsid w:val="0099503B"/>
    <w:rsid w:val="009A33B9"/>
    <w:rsid w:val="009D1831"/>
    <w:rsid w:val="009E0402"/>
    <w:rsid w:val="00A41BE3"/>
    <w:rsid w:val="00A46D88"/>
    <w:rsid w:val="00A70E0C"/>
    <w:rsid w:val="00A97687"/>
    <w:rsid w:val="00AB2DB9"/>
    <w:rsid w:val="00AE3CA5"/>
    <w:rsid w:val="00AE5EE8"/>
    <w:rsid w:val="00B0539A"/>
    <w:rsid w:val="00B2273C"/>
    <w:rsid w:val="00B53841"/>
    <w:rsid w:val="00BB0F3C"/>
    <w:rsid w:val="00C23A95"/>
    <w:rsid w:val="00C43011"/>
    <w:rsid w:val="00C64210"/>
    <w:rsid w:val="00CE1421"/>
    <w:rsid w:val="00D40D5C"/>
    <w:rsid w:val="00D61286"/>
    <w:rsid w:val="00D9012C"/>
    <w:rsid w:val="00D96633"/>
    <w:rsid w:val="00DC54F2"/>
    <w:rsid w:val="00E17723"/>
    <w:rsid w:val="00E411D6"/>
    <w:rsid w:val="00E51E36"/>
    <w:rsid w:val="00E7067F"/>
    <w:rsid w:val="00E741D5"/>
    <w:rsid w:val="00E8314B"/>
    <w:rsid w:val="00EC7E26"/>
    <w:rsid w:val="00F021BD"/>
    <w:rsid w:val="00F17084"/>
    <w:rsid w:val="00F5338B"/>
    <w:rsid w:val="00FA09D7"/>
    <w:rsid w:val="00FC1AA3"/>
    <w:rsid w:val="00FD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5369"/>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3941DF"/>
    <w:pPr>
      <w:keepNext/>
      <w:keepLines/>
      <w:spacing w:before="240" w:after="0"/>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paragraph" w:styleId="Lijstalinea">
    <w:name w:val="List Paragraph"/>
    <w:basedOn w:val="Standaard"/>
    <w:uiPriority w:val="34"/>
    <w:qFormat/>
    <w:rsid w:val="005D04AA"/>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Char">
    <w:name w:val="Kop 1 Char"/>
    <w:basedOn w:val="Standaardalinea-lettertype"/>
    <w:link w:val="Kop1"/>
    <w:uiPriority w:val="9"/>
    <w:rsid w:val="003941DF"/>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4F292E"/>
    <w:rPr>
      <w:color w:val="0563C1" w:themeColor="hyperlink"/>
      <w:u w:val="single"/>
    </w:rPr>
  </w:style>
  <w:style w:type="character" w:styleId="Onopgelostemelding">
    <w:name w:val="Unresolved Mention"/>
    <w:basedOn w:val="Standaardalinea-lettertype"/>
    <w:uiPriority w:val="99"/>
    <w:rsid w:val="00E70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RvSt.pdf" TargetMode="External"/><Relationship Id="rId5" Type="http://schemas.openxmlformats.org/officeDocument/2006/relationships/webSettings" Target="webSettings.xml"/><Relationship Id="rId10" Type="http://schemas.openxmlformats.org/officeDocument/2006/relationships/hyperlink" Target="https://bcv-cds.be/wp-content/uploads/2024/03/54K3119001.pdf" TargetMode="External"/><Relationship Id="rId4" Type="http://schemas.openxmlformats.org/officeDocument/2006/relationships/settings" Target="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26B6-E4DA-DC49-8B2A-27FF3807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112</cp:revision>
  <dcterms:created xsi:type="dcterms:W3CDTF">2019-10-18T10:25:00Z</dcterms:created>
  <dcterms:modified xsi:type="dcterms:W3CDTF">2024-06-12T07:00:00Z</dcterms:modified>
</cp:coreProperties>
</file>