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97"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63"/>
        <w:gridCol w:w="5812"/>
        <w:gridCol w:w="5500"/>
        <w:gridCol w:w="222"/>
      </w:tblGrid>
      <w:tr w:rsidR="003443FD" w:rsidRPr="002A763A" w14:paraId="5A0EADBD" w14:textId="77777777" w:rsidTr="00B34BC3">
        <w:tc>
          <w:tcPr>
            <w:tcW w:w="13575" w:type="dxa"/>
            <w:gridSpan w:val="3"/>
          </w:tcPr>
          <w:p w14:paraId="03B602D4" w14:textId="77777777" w:rsidR="003443FD" w:rsidRPr="00B07AC9" w:rsidRDefault="003443FD" w:rsidP="000D42B6">
            <w:pPr>
              <w:rPr>
                <w:b/>
                <w:sz w:val="32"/>
                <w:szCs w:val="32"/>
                <w:lang w:val="nl-BE"/>
              </w:rPr>
            </w:pPr>
            <w:bookmarkStart w:id="0" w:name="_GoBack"/>
            <w:bookmarkEnd w:id="0"/>
            <w:r>
              <w:rPr>
                <w:b/>
                <w:sz w:val="32"/>
                <w:szCs w:val="32"/>
                <w:lang w:val="nl-BE"/>
              </w:rPr>
              <w:t>BOEK 7. – De naamloze vennootschap.</w:t>
            </w:r>
          </w:p>
        </w:tc>
        <w:tc>
          <w:tcPr>
            <w:tcW w:w="222" w:type="dxa"/>
            <w:shd w:val="clear" w:color="auto" w:fill="auto"/>
          </w:tcPr>
          <w:p w14:paraId="7897290C" w14:textId="77777777" w:rsidR="003443FD" w:rsidRPr="00382324" w:rsidRDefault="003443FD" w:rsidP="000D42B6">
            <w:pPr>
              <w:rPr>
                <w:rFonts w:asciiTheme="majorHAnsi" w:eastAsiaTheme="majorEastAsia" w:hAnsiTheme="majorHAnsi" w:cstheme="majorBidi"/>
                <w:b/>
                <w:bCs/>
                <w:color w:val="2E74B5" w:themeColor="accent1" w:themeShade="BF"/>
                <w:sz w:val="32"/>
                <w:szCs w:val="28"/>
                <w:lang w:val="nl-BE"/>
              </w:rPr>
            </w:pPr>
          </w:p>
        </w:tc>
      </w:tr>
      <w:tr w:rsidR="00085125" w:rsidRPr="002A763A" w14:paraId="04AB3914" w14:textId="77777777" w:rsidTr="00B34BC3">
        <w:tc>
          <w:tcPr>
            <w:tcW w:w="13575" w:type="dxa"/>
            <w:gridSpan w:val="3"/>
          </w:tcPr>
          <w:p w14:paraId="002C1996" w14:textId="77777777" w:rsidR="00085125" w:rsidRDefault="00085125" w:rsidP="000D42B6">
            <w:pPr>
              <w:rPr>
                <w:b/>
                <w:sz w:val="32"/>
                <w:szCs w:val="32"/>
                <w:lang w:val="nl-BE"/>
              </w:rPr>
            </w:pPr>
          </w:p>
        </w:tc>
        <w:tc>
          <w:tcPr>
            <w:tcW w:w="222" w:type="dxa"/>
            <w:shd w:val="clear" w:color="auto" w:fill="auto"/>
          </w:tcPr>
          <w:p w14:paraId="36DE2E83" w14:textId="77777777" w:rsidR="00085125" w:rsidRPr="00382324" w:rsidRDefault="00085125" w:rsidP="000D42B6">
            <w:pPr>
              <w:rPr>
                <w:rFonts w:asciiTheme="majorHAnsi" w:eastAsiaTheme="majorEastAsia" w:hAnsiTheme="majorHAnsi" w:cstheme="majorBidi"/>
                <w:b/>
                <w:bCs/>
                <w:color w:val="2E74B5" w:themeColor="accent1" w:themeShade="BF"/>
                <w:sz w:val="32"/>
                <w:szCs w:val="28"/>
                <w:lang w:val="nl-BE"/>
              </w:rPr>
            </w:pPr>
          </w:p>
        </w:tc>
      </w:tr>
      <w:tr w:rsidR="00085125" w:rsidRPr="00085125" w14:paraId="2C116B9C" w14:textId="77777777" w:rsidTr="00085125">
        <w:trPr>
          <w:trHeight w:val="1086"/>
        </w:trPr>
        <w:tc>
          <w:tcPr>
            <w:tcW w:w="2263" w:type="dxa"/>
          </w:tcPr>
          <w:p w14:paraId="37B95BD4" w14:textId="77777777" w:rsidR="00085125" w:rsidRDefault="00085125" w:rsidP="000D2B4E">
            <w:pPr>
              <w:spacing w:after="0" w:line="240" w:lineRule="auto"/>
              <w:jc w:val="both"/>
              <w:rPr>
                <w:rFonts w:cs="Calibri"/>
                <w:lang w:val="nl-BE"/>
              </w:rPr>
            </w:pPr>
            <w:r>
              <w:rPr>
                <w:rFonts w:cs="Calibri"/>
                <w:lang w:val="nl-BE"/>
              </w:rPr>
              <w:t>RvSt</w:t>
            </w:r>
          </w:p>
        </w:tc>
        <w:tc>
          <w:tcPr>
            <w:tcW w:w="5812" w:type="dxa"/>
            <w:shd w:val="clear" w:color="auto" w:fill="auto"/>
          </w:tcPr>
          <w:p w14:paraId="5D04AA42" w14:textId="77777777" w:rsidR="00085125" w:rsidRPr="00085125" w:rsidRDefault="00085125" w:rsidP="00085125">
            <w:pPr>
              <w:spacing w:after="0" w:line="240" w:lineRule="auto"/>
              <w:jc w:val="both"/>
              <w:rPr>
                <w:rFonts w:cs="Calibri"/>
                <w:lang w:val="nl-NL"/>
              </w:rPr>
            </w:pPr>
            <w:r w:rsidRPr="00085125">
              <w:rPr>
                <w:rFonts w:cs="Calibri"/>
                <w:lang w:val="nl-NL"/>
              </w:rPr>
              <w:t>Over de gemeenschappelijke bepalingen betreffende de kapitaalverhogingen valt in het ontworpen artikel 7:166 op te merken dat het vormvereiste van het bankattest weliswaar wordt geschrapt, maar dat zwaardere vormvereisten worden ingevoerd (verslagen van het bestuursorgaan en van een commissaris/accountant/revisor).</w:t>
            </w:r>
          </w:p>
          <w:p w14:paraId="17048271" w14:textId="77777777" w:rsidR="00085125" w:rsidRPr="00085125" w:rsidRDefault="00085125" w:rsidP="00085125">
            <w:pPr>
              <w:spacing w:after="0" w:line="240" w:lineRule="auto"/>
              <w:jc w:val="both"/>
              <w:rPr>
                <w:rFonts w:cs="Calibri"/>
                <w:lang w:val="nl-NL"/>
              </w:rPr>
            </w:pPr>
          </w:p>
          <w:p w14:paraId="230CE213" w14:textId="77777777" w:rsidR="00085125" w:rsidRPr="00085125" w:rsidRDefault="00085125" w:rsidP="00085125">
            <w:pPr>
              <w:spacing w:after="0" w:line="240" w:lineRule="auto"/>
              <w:jc w:val="both"/>
              <w:rPr>
                <w:rFonts w:cs="Calibri"/>
                <w:lang w:val="nl-NL"/>
              </w:rPr>
            </w:pPr>
            <w:r w:rsidRPr="00085125">
              <w:rPr>
                <w:rFonts w:cs="Calibri"/>
                <w:lang w:val="nl-NL"/>
              </w:rPr>
              <w:t>Het is begrijpelijk dat die verplichting geldt voor de uitgiftes onder de fractiewaarde, maar niet welk voordeel er is bij de uitbreiding van die verplichting tot alle kapitaalverhogingen, vooral niet voor de kapitaalverhogingen door inbreng in geld met de fractiewaarde. Indien bovendien alle kapitaalverhogingen worden bedoeld, betekent dat mogelijk dat die vereisten ook moeten gelden voor de kapitaalverhogingen door omzetting van reserves, die tot nu toe eenvoudige en risicoloze verrichtingen zijn.</w:t>
            </w:r>
          </w:p>
          <w:p w14:paraId="4049AF25" w14:textId="77777777" w:rsidR="00085125" w:rsidRPr="00085125" w:rsidRDefault="00085125" w:rsidP="00085125">
            <w:pPr>
              <w:spacing w:after="0" w:line="240" w:lineRule="auto"/>
              <w:jc w:val="both"/>
              <w:rPr>
                <w:rFonts w:cs="Calibri"/>
                <w:lang w:val="nl-NL"/>
              </w:rPr>
            </w:pPr>
          </w:p>
          <w:p w14:paraId="65D0F9C7" w14:textId="77777777" w:rsidR="00085125" w:rsidRPr="00085125" w:rsidRDefault="00085125" w:rsidP="00085125">
            <w:pPr>
              <w:spacing w:after="0" w:line="240" w:lineRule="auto"/>
              <w:jc w:val="both"/>
              <w:rPr>
                <w:rFonts w:cs="Calibri"/>
                <w:lang w:val="nl-NL"/>
              </w:rPr>
            </w:pPr>
            <w:r w:rsidRPr="00085125">
              <w:rPr>
                <w:rFonts w:cs="Calibri"/>
                <w:lang w:val="nl-NL"/>
              </w:rPr>
              <w:t>Voorts bevat het voorontwerp geen enkele bepaling over niet-gereglementeerde kapitaalverrichtingen, die in de praktijk niet volledig onder de klassieke procedures vallen vanwege hun bijzondere kenmerken:</w:t>
            </w:r>
          </w:p>
          <w:p w14:paraId="1D0B313E" w14:textId="77777777" w:rsidR="00085125" w:rsidRPr="00085125" w:rsidRDefault="00085125" w:rsidP="00085125">
            <w:pPr>
              <w:spacing w:after="0" w:line="240" w:lineRule="auto"/>
              <w:jc w:val="both"/>
              <w:rPr>
                <w:rFonts w:cs="Calibri"/>
                <w:lang w:val="nl-NL"/>
              </w:rPr>
            </w:pPr>
          </w:p>
          <w:p w14:paraId="516CEB38" w14:textId="77777777" w:rsidR="00085125" w:rsidRPr="00085125" w:rsidRDefault="00085125" w:rsidP="00085125">
            <w:pPr>
              <w:spacing w:after="0" w:line="240" w:lineRule="auto"/>
              <w:jc w:val="both"/>
              <w:rPr>
                <w:rFonts w:cs="Calibri"/>
                <w:lang w:val="nl-NL"/>
              </w:rPr>
            </w:pPr>
            <w:r w:rsidRPr="00085125">
              <w:rPr>
                <w:rFonts w:cs="Calibri"/>
                <w:lang w:val="nl-NL"/>
              </w:rPr>
              <w:t>1° de kapitaalverhoging door omzetting van reserves, waarnaar het nieuwe artikel 7:45 verwijst (die verrichting werkt over het algemeen weliswaar goed in de huidige context, maar over bepaalde aspecten, zoals over de toepassing op de wettelijke reserve, bestaat nog discussie);</w:t>
            </w:r>
          </w:p>
          <w:p w14:paraId="5A88990F" w14:textId="77777777" w:rsidR="00085125" w:rsidRPr="00085125" w:rsidRDefault="00085125" w:rsidP="00085125">
            <w:pPr>
              <w:spacing w:after="0" w:line="240" w:lineRule="auto"/>
              <w:jc w:val="both"/>
              <w:rPr>
                <w:rFonts w:cs="Calibri"/>
                <w:lang w:val="nl-NL"/>
              </w:rPr>
            </w:pPr>
          </w:p>
          <w:p w14:paraId="4564CCDC" w14:textId="77777777" w:rsidR="00085125" w:rsidRPr="00085125" w:rsidRDefault="00085125" w:rsidP="00085125">
            <w:pPr>
              <w:spacing w:after="0" w:line="240" w:lineRule="auto"/>
              <w:jc w:val="both"/>
              <w:rPr>
                <w:rFonts w:cs="Calibri"/>
                <w:lang w:val="nl-NL"/>
              </w:rPr>
            </w:pPr>
            <w:r w:rsidRPr="00085125">
              <w:rPr>
                <w:rFonts w:cs="Calibri"/>
                <w:lang w:val="nl-NL"/>
              </w:rPr>
              <w:lastRenderedPageBreak/>
              <w:t>2° de kapitaalverhoging zonder uitgifte van nieuwe aandelen (bij een stabiel aandeelhouderschap bestaat nog discussie over de vraag of aldus gehandeld mag worden in geval van inbreng in natura en wanneer niet alle bestaande aandeelhouders in verhouding tot hun bestaande deelneming op de verhoging intekenen);</w:t>
            </w:r>
          </w:p>
          <w:p w14:paraId="4713E9CA" w14:textId="77777777" w:rsidR="00085125" w:rsidRPr="00085125" w:rsidRDefault="00085125" w:rsidP="00085125">
            <w:pPr>
              <w:spacing w:after="0" w:line="240" w:lineRule="auto"/>
              <w:jc w:val="both"/>
              <w:rPr>
                <w:rFonts w:cs="Calibri"/>
                <w:lang w:val="nl-NL"/>
              </w:rPr>
            </w:pPr>
          </w:p>
          <w:p w14:paraId="61FCCA5D" w14:textId="77777777" w:rsidR="00085125" w:rsidRPr="00085125" w:rsidRDefault="00085125" w:rsidP="00085125">
            <w:pPr>
              <w:spacing w:after="0" w:line="240" w:lineRule="auto"/>
              <w:jc w:val="both"/>
              <w:rPr>
                <w:rFonts w:cs="Calibri"/>
                <w:lang w:val="nl-NL"/>
              </w:rPr>
            </w:pPr>
            <w:r w:rsidRPr="00085125">
              <w:rPr>
                <w:rFonts w:cs="Calibri"/>
                <w:lang w:val="nl-NL"/>
              </w:rPr>
              <w:t>3° de vermindering van het kapitaal in natura, die soms problemen geeft vanwege de verschillen tussen de boekhoudkundige waardering van de uitgekeerde activa en de reële waarde ervan;</w:t>
            </w:r>
          </w:p>
          <w:p w14:paraId="39EC45C6" w14:textId="77777777" w:rsidR="00085125" w:rsidRPr="00085125" w:rsidRDefault="00085125" w:rsidP="00085125">
            <w:pPr>
              <w:spacing w:after="0" w:line="240" w:lineRule="auto"/>
              <w:jc w:val="both"/>
              <w:rPr>
                <w:rFonts w:cs="Calibri"/>
                <w:lang w:val="nl-NL"/>
              </w:rPr>
            </w:pPr>
          </w:p>
          <w:p w14:paraId="383D9DAA" w14:textId="77777777" w:rsidR="00085125" w:rsidRPr="00085125" w:rsidRDefault="00085125" w:rsidP="00085125">
            <w:pPr>
              <w:spacing w:after="0" w:line="240" w:lineRule="auto"/>
              <w:jc w:val="both"/>
              <w:rPr>
                <w:rFonts w:cs="Calibri"/>
                <w:lang w:val="nl-NL"/>
              </w:rPr>
            </w:pPr>
            <w:r w:rsidRPr="00085125">
              <w:rPr>
                <w:rFonts w:cs="Calibri"/>
                <w:lang w:val="nl-NL"/>
              </w:rPr>
              <w:t>4° de kapitaalvermindering ten gunste van de ene of de andere vennoot (gedeeltelijk of volledige uittreding);</w:t>
            </w:r>
          </w:p>
          <w:p w14:paraId="2ED64957" w14:textId="77777777" w:rsidR="00085125" w:rsidRPr="00085125" w:rsidRDefault="00085125" w:rsidP="00085125">
            <w:pPr>
              <w:spacing w:after="0" w:line="240" w:lineRule="auto"/>
              <w:jc w:val="both"/>
              <w:rPr>
                <w:rFonts w:cs="Calibri"/>
                <w:lang w:val="nl-NL"/>
              </w:rPr>
            </w:pPr>
          </w:p>
          <w:p w14:paraId="6DC86C7D" w14:textId="77777777" w:rsidR="00085125" w:rsidRPr="00085125" w:rsidRDefault="00085125" w:rsidP="00085125">
            <w:pPr>
              <w:spacing w:after="0" w:line="240" w:lineRule="auto"/>
              <w:jc w:val="both"/>
              <w:rPr>
                <w:rFonts w:cs="Calibri"/>
                <w:lang w:val="nl-NL"/>
              </w:rPr>
            </w:pPr>
            <w:r w:rsidRPr="00085125">
              <w:rPr>
                <w:rFonts w:cs="Calibri"/>
                <w:lang w:val="nl-NL"/>
              </w:rPr>
              <w:t>5° de kapitaalvermindering zonder terugbetaling (het omgekeerde van de omzetting van reserves naar kapitaal).</w:t>
            </w:r>
          </w:p>
          <w:p w14:paraId="3CF6E81A" w14:textId="77777777" w:rsidR="00085125" w:rsidRPr="00085125" w:rsidRDefault="00085125" w:rsidP="00085125">
            <w:pPr>
              <w:spacing w:after="0" w:line="240" w:lineRule="auto"/>
              <w:jc w:val="both"/>
              <w:rPr>
                <w:rFonts w:cs="Calibri"/>
                <w:lang w:val="nl-NL"/>
              </w:rPr>
            </w:pPr>
          </w:p>
          <w:p w14:paraId="67330E7A" w14:textId="77777777" w:rsidR="00085125" w:rsidRPr="005D3A1B" w:rsidRDefault="00085125" w:rsidP="00085125">
            <w:pPr>
              <w:spacing w:after="0" w:line="240" w:lineRule="auto"/>
              <w:jc w:val="both"/>
              <w:rPr>
                <w:rFonts w:cs="Calibri"/>
                <w:lang w:val="nl-NL"/>
              </w:rPr>
            </w:pPr>
            <w:r w:rsidRPr="00085125">
              <w:rPr>
                <w:rFonts w:cs="Calibri"/>
                <w:lang w:val="nl-NL"/>
              </w:rPr>
              <w:t>Die kwesties zouden de stellers van het voorontwerp opnieuw moeten onderzoeken.</w:t>
            </w:r>
          </w:p>
        </w:tc>
        <w:tc>
          <w:tcPr>
            <w:tcW w:w="5722" w:type="dxa"/>
            <w:gridSpan w:val="2"/>
            <w:shd w:val="clear" w:color="auto" w:fill="auto"/>
          </w:tcPr>
          <w:p w14:paraId="2CBF40C7" w14:textId="77777777" w:rsidR="00085125" w:rsidRPr="00085125" w:rsidRDefault="00085125" w:rsidP="00085125">
            <w:pPr>
              <w:spacing w:after="0" w:line="240" w:lineRule="auto"/>
              <w:jc w:val="both"/>
              <w:rPr>
                <w:rFonts w:cs="Calibri"/>
                <w:lang w:val="fr-FR"/>
              </w:rPr>
            </w:pPr>
            <w:r w:rsidRPr="00085125">
              <w:rPr>
                <w:rFonts w:cs="Calibri"/>
                <w:lang w:val="fr-FR"/>
              </w:rPr>
              <w:lastRenderedPageBreak/>
              <w:t xml:space="preserve">À propos des dispositions communes aux augmentations de capital, on constate, à l’article </w:t>
            </w:r>
            <w:proofErr w:type="gramStart"/>
            <w:r w:rsidRPr="00085125">
              <w:rPr>
                <w:rFonts w:cs="Calibri"/>
                <w:lang w:val="fr-FR"/>
              </w:rPr>
              <w:t>7:</w:t>
            </w:r>
            <w:proofErr w:type="gramEnd"/>
            <w:r w:rsidRPr="00085125">
              <w:rPr>
                <w:rFonts w:cs="Calibri"/>
                <w:lang w:val="fr-FR"/>
              </w:rPr>
              <w:t>166 en projet, que, si la formalité de l’attestation bancaire est supprimée, des formalités plus lourdes sont instaurées (rapports de l’organe d’administration et d’un commissaire/expert-</w:t>
            </w:r>
            <w:r>
              <w:rPr>
                <w:rFonts w:cs="Calibri"/>
                <w:lang w:val="fr-FR"/>
              </w:rPr>
              <w:t xml:space="preserve"> c</w:t>
            </w:r>
            <w:r w:rsidRPr="00085125">
              <w:rPr>
                <w:rFonts w:cs="Calibri"/>
                <w:lang w:val="fr-FR"/>
              </w:rPr>
              <w:t>omptable/réviseur).</w:t>
            </w:r>
          </w:p>
          <w:p w14:paraId="4024DFB2" w14:textId="77777777" w:rsidR="00085125" w:rsidRPr="00085125" w:rsidRDefault="00085125" w:rsidP="00085125">
            <w:pPr>
              <w:spacing w:after="0" w:line="240" w:lineRule="auto"/>
              <w:jc w:val="both"/>
              <w:rPr>
                <w:rFonts w:cs="Calibri"/>
                <w:lang w:val="fr-FR"/>
              </w:rPr>
            </w:pPr>
          </w:p>
          <w:p w14:paraId="61A67B7D" w14:textId="77777777" w:rsidR="00085125" w:rsidRPr="00085125" w:rsidRDefault="00085125" w:rsidP="00085125">
            <w:pPr>
              <w:spacing w:after="0" w:line="240" w:lineRule="auto"/>
              <w:jc w:val="both"/>
              <w:rPr>
                <w:rFonts w:cs="Calibri"/>
                <w:lang w:val="fr-FR"/>
              </w:rPr>
            </w:pPr>
            <w:r w:rsidRPr="00085125">
              <w:rPr>
                <w:rFonts w:cs="Calibri"/>
                <w:lang w:val="fr-FR"/>
              </w:rPr>
              <w:t>S’il est compréhensible que cette obligation existe pour les émissions en dessous du pair comptable, l’avantage de l’étendre à toutes les augmentations de capital ne semble pas clair, surtout pour des augmentations de capital par apport en espèces au pair comptable. En outre, si toutes les augmentations de capital sont visées, cela peut vouloir dire qu’il faut aussi appliquer ces exigences aux augmentations de capital par incorporation de réserves, opérations jusqu’à présent simples et dépourvues de risque.</w:t>
            </w:r>
          </w:p>
          <w:p w14:paraId="4ADC63B8" w14:textId="77777777" w:rsidR="00085125" w:rsidRPr="00085125" w:rsidRDefault="00085125" w:rsidP="00085125">
            <w:pPr>
              <w:spacing w:after="0" w:line="240" w:lineRule="auto"/>
              <w:jc w:val="both"/>
              <w:rPr>
                <w:rFonts w:cs="Calibri"/>
                <w:lang w:val="fr-FR"/>
              </w:rPr>
            </w:pPr>
          </w:p>
          <w:p w14:paraId="03EA669C" w14:textId="77777777" w:rsidR="00085125" w:rsidRPr="00085125" w:rsidRDefault="00085125" w:rsidP="00085125">
            <w:pPr>
              <w:spacing w:after="0" w:line="240" w:lineRule="auto"/>
              <w:jc w:val="both"/>
              <w:rPr>
                <w:rFonts w:cs="Calibri"/>
                <w:lang w:val="fr-FR"/>
              </w:rPr>
            </w:pPr>
            <w:r w:rsidRPr="00085125">
              <w:rPr>
                <w:rFonts w:cs="Calibri"/>
                <w:lang w:val="fr-FR"/>
              </w:rPr>
              <w:t>À côté de cela, l’avant-projet ne contient aucune disposition relative à des opérations sur capital non réglementées, qui, appliquées dans la pratique, n’entrent pas complètement dans les procédures classiques en</w:t>
            </w:r>
            <w:r>
              <w:rPr>
                <w:rFonts w:cs="Calibri"/>
                <w:lang w:val="fr-FR"/>
              </w:rPr>
              <w:t xml:space="preserve"> raison de leurs </w:t>
            </w:r>
            <w:proofErr w:type="gramStart"/>
            <w:r>
              <w:rPr>
                <w:rFonts w:cs="Calibri"/>
                <w:lang w:val="fr-FR"/>
              </w:rPr>
              <w:t>particularités</w:t>
            </w:r>
            <w:r w:rsidRPr="00085125">
              <w:rPr>
                <w:rFonts w:cs="Calibri"/>
                <w:lang w:val="fr-FR"/>
              </w:rPr>
              <w:t>:</w:t>
            </w:r>
            <w:proofErr w:type="gramEnd"/>
          </w:p>
          <w:p w14:paraId="526F1D34" w14:textId="77777777" w:rsidR="00085125" w:rsidRPr="00085125" w:rsidRDefault="00085125" w:rsidP="00085125">
            <w:pPr>
              <w:spacing w:after="0" w:line="240" w:lineRule="auto"/>
              <w:jc w:val="both"/>
              <w:rPr>
                <w:rFonts w:cs="Calibri"/>
                <w:lang w:val="fr-FR"/>
              </w:rPr>
            </w:pPr>
          </w:p>
          <w:p w14:paraId="0BC02604" w14:textId="77777777" w:rsidR="00085125" w:rsidRPr="00085125" w:rsidRDefault="00085125" w:rsidP="00085125">
            <w:pPr>
              <w:spacing w:after="0" w:line="240" w:lineRule="auto"/>
              <w:jc w:val="both"/>
              <w:rPr>
                <w:rFonts w:cs="Calibri"/>
                <w:lang w:val="fr-FR"/>
              </w:rPr>
            </w:pPr>
            <w:r w:rsidRPr="00085125">
              <w:rPr>
                <w:rFonts w:cs="Calibri"/>
                <w:lang w:val="fr-FR"/>
              </w:rPr>
              <w:t xml:space="preserve">1° l’augmentation de capital par incorporation de réserves, auquel fait référence le nouvel article </w:t>
            </w:r>
            <w:proofErr w:type="gramStart"/>
            <w:r w:rsidRPr="00085125">
              <w:rPr>
                <w:rFonts w:cs="Calibri"/>
                <w:lang w:val="fr-FR"/>
              </w:rPr>
              <w:t>7:</w:t>
            </w:r>
            <w:proofErr w:type="gramEnd"/>
            <w:r w:rsidRPr="00085125">
              <w:rPr>
                <w:rFonts w:cs="Calibri"/>
                <w:lang w:val="fr-FR"/>
              </w:rPr>
              <w:t>45 (si cette opération fonctionne globalement bien dans le contexte actuel, des controverses subsistent sur certains aspects, tels que l’application à la réserve légale) ;</w:t>
            </w:r>
          </w:p>
          <w:p w14:paraId="657F1DED" w14:textId="77777777" w:rsidR="00085125" w:rsidRPr="00085125" w:rsidRDefault="00085125" w:rsidP="00085125">
            <w:pPr>
              <w:spacing w:after="0" w:line="240" w:lineRule="auto"/>
              <w:jc w:val="both"/>
              <w:rPr>
                <w:rFonts w:cs="Calibri"/>
                <w:lang w:val="fr-FR"/>
              </w:rPr>
            </w:pPr>
          </w:p>
          <w:p w14:paraId="58ABE8F5" w14:textId="77777777" w:rsidR="00085125" w:rsidRPr="00085125" w:rsidRDefault="00085125" w:rsidP="00085125">
            <w:pPr>
              <w:spacing w:after="0" w:line="240" w:lineRule="auto"/>
              <w:jc w:val="both"/>
              <w:rPr>
                <w:rFonts w:cs="Calibri"/>
                <w:lang w:val="fr-FR"/>
              </w:rPr>
            </w:pPr>
            <w:r w:rsidRPr="00085125">
              <w:rPr>
                <w:rFonts w:cs="Calibri"/>
                <w:lang w:val="fr-FR"/>
              </w:rPr>
              <w:lastRenderedPageBreak/>
              <w:t>2° l’augmentation de capital sans émission de nouvelles actions (en présence d’un actionnariat stable, des controverses subsistent sur la question de savoir si l’on peut procéder ainsi en cas d’apport en nature et quand tous les actionnaires existants ne souscrivent pas à l’augmentation dans la proportion de leur participation existante) ;</w:t>
            </w:r>
          </w:p>
          <w:p w14:paraId="5614F35E" w14:textId="77777777" w:rsidR="00085125" w:rsidRPr="00085125" w:rsidRDefault="00085125" w:rsidP="00085125">
            <w:pPr>
              <w:spacing w:after="0" w:line="240" w:lineRule="auto"/>
              <w:jc w:val="both"/>
              <w:rPr>
                <w:rFonts w:cs="Calibri"/>
                <w:lang w:val="fr-FR"/>
              </w:rPr>
            </w:pPr>
          </w:p>
          <w:p w14:paraId="7CC93A5B" w14:textId="77777777" w:rsidR="00085125" w:rsidRPr="00085125" w:rsidRDefault="00085125" w:rsidP="00085125">
            <w:pPr>
              <w:spacing w:after="0" w:line="240" w:lineRule="auto"/>
              <w:jc w:val="both"/>
              <w:rPr>
                <w:rFonts w:cs="Calibri"/>
                <w:lang w:val="fr-FR"/>
              </w:rPr>
            </w:pPr>
            <w:r w:rsidRPr="00085125">
              <w:rPr>
                <w:rFonts w:cs="Calibri"/>
                <w:lang w:val="fr-FR"/>
              </w:rPr>
              <w:t>3° la réduction de capital en nature, qui pose parfois des difficultés en raison des différences entre la valorisation comptable des actifs distribués et leur valeur réelle ;</w:t>
            </w:r>
          </w:p>
          <w:p w14:paraId="4ED0B3C3" w14:textId="77777777" w:rsidR="00085125" w:rsidRPr="00085125" w:rsidRDefault="00085125" w:rsidP="00085125">
            <w:pPr>
              <w:spacing w:after="0" w:line="240" w:lineRule="auto"/>
              <w:jc w:val="both"/>
              <w:rPr>
                <w:rFonts w:cs="Calibri"/>
                <w:lang w:val="fr-FR"/>
              </w:rPr>
            </w:pPr>
          </w:p>
          <w:p w14:paraId="378D1FAD" w14:textId="77777777" w:rsidR="00085125" w:rsidRPr="00085125" w:rsidRDefault="00085125" w:rsidP="00085125">
            <w:pPr>
              <w:spacing w:after="0" w:line="240" w:lineRule="auto"/>
              <w:jc w:val="both"/>
              <w:rPr>
                <w:rFonts w:cs="Calibri"/>
                <w:lang w:val="fr-FR"/>
              </w:rPr>
            </w:pPr>
            <w:r w:rsidRPr="00085125">
              <w:rPr>
                <w:rFonts w:cs="Calibri"/>
                <w:lang w:val="fr-FR"/>
              </w:rPr>
              <w:t>4° la réduction de capital en faveur de l’un ou l’autre associé (retrait partiel ou complet) ;</w:t>
            </w:r>
          </w:p>
          <w:p w14:paraId="3C04EF8A" w14:textId="77777777" w:rsidR="00085125" w:rsidRPr="00085125" w:rsidRDefault="00085125" w:rsidP="00085125">
            <w:pPr>
              <w:spacing w:after="0" w:line="240" w:lineRule="auto"/>
              <w:jc w:val="both"/>
              <w:rPr>
                <w:rFonts w:cs="Calibri"/>
                <w:lang w:val="fr-FR"/>
              </w:rPr>
            </w:pPr>
          </w:p>
          <w:p w14:paraId="246643BF" w14:textId="77777777" w:rsidR="00085125" w:rsidRPr="00085125" w:rsidRDefault="00085125" w:rsidP="00085125">
            <w:pPr>
              <w:spacing w:after="0" w:line="240" w:lineRule="auto"/>
              <w:jc w:val="both"/>
              <w:rPr>
                <w:rFonts w:cs="Calibri"/>
                <w:lang w:val="fr-FR"/>
              </w:rPr>
            </w:pPr>
            <w:r w:rsidRPr="00085125">
              <w:rPr>
                <w:rFonts w:cs="Calibri"/>
                <w:lang w:val="fr-FR"/>
              </w:rPr>
              <w:t>5° la réduction du capital sans remboursement (inverse de l’incorporation de réserves au capital).</w:t>
            </w:r>
          </w:p>
          <w:p w14:paraId="0241BC39" w14:textId="77777777" w:rsidR="00085125" w:rsidRPr="00085125" w:rsidRDefault="00085125" w:rsidP="00085125">
            <w:pPr>
              <w:spacing w:after="0" w:line="240" w:lineRule="auto"/>
              <w:jc w:val="both"/>
              <w:rPr>
                <w:rFonts w:cs="Calibri"/>
                <w:lang w:val="fr-FR"/>
              </w:rPr>
            </w:pPr>
          </w:p>
          <w:p w14:paraId="2EDE9546" w14:textId="77777777" w:rsidR="00085125" w:rsidRPr="005D3A1B" w:rsidRDefault="00085125" w:rsidP="00085125">
            <w:pPr>
              <w:spacing w:after="0" w:line="240" w:lineRule="auto"/>
              <w:jc w:val="both"/>
              <w:rPr>
                <w:rFonts w:cs="Calibri"/>
                <w:lang w:val="fr-FR"/>
              </w:rPr>
            </w:pPr>
            <w:r w:rsidRPr="00085125">
              <w:rPr>
                <w:rFonts w:cs="Calibri"/>
                <w:lang w:val="fr-FR"/>
              </w:rPr>
              <w:t>Ces questions méritent un réexamen de la part des auteurs de l’avant-projet.</w:t>
            </w:r>
          </w:p>
        </w:tc>
      </w:tr>
      <w:tr w:rsidR="003443FD" w:rsidRPr="003443FD" w14:paraId="4669871D" w14:textId="77777777" w:rsidTr="00B34BC3">
        <w:tc>
          <w:tcPr>
            <w:tcW w:w="13575" w:type="dxa"/>
            <w:gridSpan w:val="3"/>
          </w:tcPr>
          <w:p w14:paraId="335A0D99" w14:textId="77777777" w:rsidR="003443FD" w:rsidRPr="00B07AC9" w:rsidRDefault="003443FD" w:rsidP="000D42B6">
            <w:pPr>
              <w:rPr>
                <w:b/>
                <w:sz w:val="32"/>
                <w:szCs w:val="32"/>
                <w:lang w:val="nl-BE"/>
              </w:rPr>
            </w:pPr>
            <w:r>
              <w:rPr>
                <w:b/>
                <w:sz w:val="32"/>
                <w:szCs w:val="32"/>
                <w:lang w:val="nl-BE"/>
              </w:rPr>
              <w:lastRenderedPageBreak/>
              <w:t>Titel 1. – Aard en kwalificatie.</w:t>
            </w:r>
          </w:p>
        </w:tc>
        <w:tc>
          <w:tcPr>
            <w:tcW w:w="222" w:type="dxa"/>
            <w:shd w:val="clear" w:color="auto" w:fill="auto"/>
          </w:tcPr>
          <w:p w14:paraId="20C87CD4" w14:textId="77777777" w:rsidR="003443FD" w:rsidRPr="00382324" w:rsidRDefault="003443FD" w:rsidP="000D42B6">
            <w:pPr>
              <w:rPr>
                <w:rFonts w:asciiTheme="majorHAnsi" w:eastAsiaTheme="majorEastAsia" w:hAnsiTheme="majorHAnsi" w:cstheme="majorBidi"/>
                <w:b/>
                <w:bCs/>
                <w:color w:val="2E74B5" w:themeColor="accent1" w:themeShade="BF"/>
                <w:sz w:val="32"/>
                <w:szCs w:val="28"/>
                <w:lang w:val="nl-BE"/>
              </w:rPr>
            </w:pPr>
          </w:p>
        </w:tc>
      </w:tr>
      <w:tr w:rsidR="000D42B6" w:rsidRPr="003443FD" w14:paraId="35083929" w14:textId="77777777" w:rsidTr="00085125">
        <w:tc>
          <w:tcPr>
            <w:tcW w:w="2263" w:type="dxa"/>
          </w:tcPr>
          <w:p w14:paraId="597142EB" w14:textId="77777777" w:rsidR="000D42B6" w:rsidRPr="00B07AC9" w:rsidRDefault="000D42B6" w:rsidP="000D42B6">
            <w:pPr>
              <w:rPr>
                <w:b/>
                <w:sz w:val="32"/>
                <w:szCs w:val="32"/>
                <w:lang w:val="nl-BE"/>
              </w:rPr>
            </w:pPr>
            <w:r w:rsidRPr="00B07AC9">
              <w:rPr>
                <w:b/>
                <w:sz w:val="32"/>
                <w:szCs w:val="32"/>
                <w:lang w:val="nl-BE"/>
              </w:rPr>
              <w:t xml:space="preserve">ARTIKEL </w:t>
            </w:r>
            <w:r w:rsidR="004A303D">
              <w:rPr>
                <w:b/>
                <w:sz w:val="32"/>
                <w:szCs w:val="32"/>
                <w:lang w:val="nl-BE"/>
              </w:rPr>
              <w:t>7</w:t>
            </w:r>
            <w:r w:rsidR="00B0539A">
              <w:rPr>
                <w:b/>
                <w:sz w:val="32"/>
                <w:szCs w:val="32"/>
                <w:lang w:val="nl-BE"/>
              </w:rPr>
              <w:t>:1</w:t>
            </w:r>
          </w:p>
        </w:tc>
        <w:tc>
          <w:tcPr>
            <w:tcW w:w="11534" w:type="dxa"/>
            <w:gridSpan w:val="3"/>
            <w:shd w:val="clear" w:color="auto" w:fill="auto"/>
          </w:tcPr>
          <w:p w14:paraId="692113F9"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3443FD" w14:paraId="59139DF4" w14:textId="77777777" w:rsidTr="00085125">
        <w:trPr>
          <w:trHeight w:val="652"/>
        </w:trPr>
        <w:tc>
          <w:tcPr>
            <w:tcW w:w="2263" w:type="dxa"/>
          </w:tcPr>
          <w:p w14:paraId="17859D7C" w14:textId="77777777" w:rsidR="005B33B1" w:rsidRPr="00B07AC9" w:rsidRDefault="005B33B1" w:rsidP="000D42B6">
            <w:pPr>
              <w:rPr>
                <w:b/>
                <w:sz w:val="32"/>
                <w:szCs w:val="32"/>
                <w:lang w:val="nl-BE"/>
              </w:rPr>
            </w:pPr>
          </w:p>
        </w:tc>
        <w:tc>
          <w:tcPr>
            <w:tcW w:w="11534" w:type="dxa"/>
            <w:gridSpan w:val="3"/>
            <w:shd w:val="clear" w:color="auto" w:fill="auto"/>
          </w:tcPr>
          <w:p w14:paraId="7BF74B60"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4A303D" w:rsidRPr="00085125" w14:paraId="7F8367BA" w14:textId="77777777" w:rsidTr="00085125">
        <w:trPr>
          <w:trHeight w:val="846"/>
        </w:trPr>
        <w:tc>
          <w:tcPr>
            <w:tcW w:w="2263" w:type="dxa"/>
          </w:tcPr>
          <w:p w14:paraId="609F920C" w14:textId="77777777" w:rsidR="004A303D" w:rsidRDefault="004A303D" w:rsidP="00FE22FE">
            <w:pPr>
              <w:spacing w:after="0" w:line="240" w:lineRule="auto"/>
              <w:jc w:val="both"/>
              <w:rPr>
                <w:rFonts w:cs="Calibri"/>
                <w:lang w:val="nl-BE"/>
              </w:rPr>
            </w:pPr>
            <w:r>
              <w:rPr>
                <w:rFonts w:cs="Calibri"/>
                <w:lang w:val="nl-BE"/>
              </w:rPr>
              <w:t>WVV</w:t>
            </w:r>
          </w:p>
        </w:tc>
        <w:tc>
          <w:tcPr>
            <w:tcW w:w="5812" w:type="dxa"/>
            <w:shd w:val="clear" w:color="auto" w:fill="auto"/>
          </w:tcPr>
          <w:p w14:paraId="64B2D297" w14:textId="77777777" w:rsidR="004A303D" w:rsidRPr="00085125" w:rsidRDefault="004A303D" w:rsidP="00FE22FE">
            <w:pPr>
              <w:spacing w:after="0" w:line="240" w:lineRule="auto"/>
              <w:jc w:val="both"/>
              <w:rPr>
                <w:rFonts w:cs="Calibri"/>
                <w:lang w:val="nl-BE"/>
              </w:rPr>
            </w:pPr>
            <w:r w:rsidRPr="005D3A1B">
              <w:rPr>
                <w:rFonts w:cs="Calibri"/>
                <w:lang w:val="nl-NL"/>
              </w:rPr>
              <w:t>De naamloze vennootschap is een vennootschap met een kapitaal en waarin de aandeelhouders slechts hun inbreng verbinden.</w:t>
            </w:r>
          </w:p>
        </w:tc>
        <w:tc>
          <w:tcPr>
            <w:tcW w:w="5722" w:type="dxa"/>
            <w:gridSpan w:val="2"/>
            <w:shd w:val="clear" w:color="auto" w:fill="auto"/>
          </w:tcPr>
          <w:p w14:paraId="3B45CAD7" w14:textId="5B22878D" w:rsidR="004A303D" w:rsidRPr="005D3A1B" w:rsidRDefault="004A303D" w:rsidP="00FE22FE">
            <w:pPr>
              <w:spacing w:after="0" w:line="240" w:lineRule="auto"/>
              <w:jc w:val="both"/>
              <w:rPr>
                <w:rFonts w:cs="Calibri"/>
                <w:lang w:val="fr-FR"/>
              </w:rPr>
            </w:pPr>
            <w:r w:rsidRPr="005D3A1B">
              <w:rPr>
                <w:rFonts w:cs="Calibri"/>
                <w:bCs/>
                <w:iCs/>
                <w:lang w:val="fr-FR"/>
              </w:rPr>
              <w:t xml:space="preserve">La société </w:t>
            </w:r>
            <w:r w:rsidR="00437914">
              <w:rPr>
                <w:rFonts w:cs="Calibri"/>
                <w:bCs/>
                <w:iCs/>
                <w:lang w:val="fr-FR"/>
              </w:rPr>
              <w:t>anonyme est une société dotée d'</w:t>
            </w:r>
            <w:r w:rsidRPr="005D3A1B">
              <w:rPr>
                <w:rFonts w:cs="Calibri"/>
                <w:bCs/>
                <w:iCs/>
                <w:lang w:val="fr-FR"/>
              </w:rPr>
              <w:t>un capital et dans laquelle les actionnaires n'engagent que leur apport.</w:t>
            </w:r>
          </w:p>
        </w:tc>
      </w:tr>
      <w:tr w:rsidR="00EB4870" w:rsidRPr="00085125" w14:paraId="7B6C7DE1" w14:textId="77777777" w:rsidTr="00085125">
        <w:trPr>
          <w:trHeight w:val="846"/>
        </w:trPr>
        <w:tc>
          <w:tcPr>
            <w:tcW w:w="2263" w:type="dxa"/>
          </w:tcPr>
          <w:p w14:paraId="6F2F51AA" w14:textId="77777777" w:rsidR="00EB4870" w:rsidRPr="003443FD" w:rsidRDefault="00EB4870" w:rsidP="002A31B3">
            <w:pPr>
              <w:spacing w:after="0" w:line="240" w:lineRule="auto"/>
              <w:jc w:val="both"/>
              <w:rPr>
                <w:rFonts w:cstheme="minorHAnsi"/>
                <w:lang w:val="nl-NL"/>
              </w:rPr>
            </w:pPr>
            <w:r>
              <w:rPr>
                <w:rFonts w:cstheme="minorHAnsi"/>
                <w:lang w:val="nl-NL"/>
              </w:rPr>
              <w:t>Ontwerp</w:t>
            </w:r>
          </w:p>
        </w:tc>
        <w:tc>
          <w:tcPr>
            <w:tcW w:w="5812" w:type="dxa"/>
            <w:shd w:val="clear" w:color="auto" w:fill="auto"/>
          </w:tcPr>
          <w:p w14:paraId="055CD3C8" w14:textId="77777777" w:rsidR="00EB4870" w:rsidRPr="003443FD" w:rsidRDefault="00EB4870" w:rsidP="002A31B3">
            <w:pPr>
              <w:spacing w:after="0" w:line="240" w:lineRule="auto"/>
              <w:jc w:val="both"/>
              <w:rPr>
                <w:rFonts w:cstheme="minorHAnsi"/>
                <w:noProof/>
                <w:lang w:val="nl-NL"/>
              </w:rPr>
            </w:pPr>
            <w:r w:rsidRPr="00FE22FE">
              <w:rPr>
                <w:rFonts w:cstheme="minorHAnsi"/>
                <w:noProof/>
                <w:lang w:val="nl-NL"/>
              </w:rPr>
              <w:t>Art. 7:1. De naamloze vennootschap is een vennootschap met een kapitaal en waarin de aandeelhouders slechts hun inbreng verbinden.</w:t>
            </w:r>
          </w:p>
        </w:tc>
        <w:tc>
          <w:tcPr>
            <w:tcW w:w="5722" w:type="dxa"/>
            <w:gridSpan w:val="2"/>
            <w:shd w:val="clear" w:color="auto" w:fill="auto"/>
          </w:tcPr>
          <w:p w14:paraId="55355E38" w14:textId="461A295D" w:rsidR="00EB4870" w:rsidRPr="00FE22FE" w:rsidRDefault="00EB4870" w:rsidP="002A31B3">
            <w:pPr>
              <w:pStyle w:val="Afdeling"/>
              <w:jc w:val="both"/>
              <w:rPr>
                <w:rFonts w:asciiTheme="minorHAnsi" w:hAnsiTheme="minorHAnsi" w:cstheme="minorHAnsi"/>
                <w:b w:val="0"/>
                <w:i w:val="0"/>
                <w:noProof/>
                <w:sz w:val="22"/>
                <w:szCs w:val="22"/>
                <w:lang w:val="fr-FR"/>
              </w:rPr>
            </w:pPr>
            <w:r w:rsidRPr="00FE22FE">
              <w:rPr>
                <w:rFonts w:asciiTheme="minorHAnsi" w:hAnsiTheme="minorHAnsi" w:cstheme="minorHAnsi"/>
                <w:b w:val="0"/>
                <w:i w:val="0"/>
                <w:noProof/>
                <w:sz w:val="22"/>
                <w:szCs w:val="22"/>
                <w:lang w:val="fr-FR"/>
              </w:rPr>
              <w:t xml:space="preserve">Art. 7:1. La société </w:t>
            </w:r>
            <w:r w:rsidR="00437914">
              <w:rPr>
                <w:rFonts w:asciiTheme="minorHAnsi" w:hAnsiTheme="minorHAnsi" w:cstheme="minorHAnsi"/>
                <w:b w:val="0"/>
                <w:i w:val="0"/>
                <w:noProof/>
                <w:sz w:val="22"/>
                <w:szCs w:val="22"/>
                <w:lang w:val="fr-FR"/>
              </w:rPr>
              <w:t>anonyme est une société dotée d'</w:t>
            </w:r>
            <w:r w:rsidRPr="00FE22FE">
              <w:rPr>
                <w:rFonts w:asciiTheme="minorHAnsi" w:hAnsiTheme="minorHAnsi" w:cstheme="minorHAnsi"/>
                <w:b w:val="0"/>
                <w:i w:val="0"/>
                <w:noProof/>
                <w:sz w:val="22"/>
                <w:szCs w:val="22"/>
                <w:lang w:val="fr-FR"/>
              </w:rPr>
              <w:t>un capital et dans laquelle les actionnaires n'engagent que leur apport.</w:t>
            </w:r>
          </w:p>
        </w:tc>
      </w:tr>
      <w:tr w:rsidR="00EB4870" w:rsidRPr="00085125" w14:paraId="5547FB86" w14:textId="77777777" w:rsidTr="00085125">
        <w:trPr>
          <w:trHeight w:val="841"/>
        </w:trPr>
        <w:tc>
          <w:tcPr>
            <w:tcW w:w="2263" w:type="dxa"/>
          </w:tcPr>
          <w:p w14:paraId="0C262464" w14:textId="77777777" w:rsidR="00EB4870" w:rsidRPr="003443FD" w:rsidRDefault="00EB4870" w:rsidP="00FE22FE">
            <w:pPr>
              <w:spacing w:after="0" w:line="240" w:lineRule="auto"/>
              <w:jc w:val="both"/>
              <w:rPr>
                <w:rFonts w:cstheme="minorHAnsi"/>
                <w:lang w:val="nl-NL"/>
              </w:rPr>
            </w:pPr>
            <w:r w:rsidRPr="003443FD">
              <w:rPr>
                <w:rFonts w:cstheme="minorHAnsi"/>
                <w:lang w:val="nl-NL"/>
              </w:rPr>
              <w:lastRenderedPageBreak/>
              <w:t>Voorontwerp</w:t>
            </w:r>
          </w:p>
        </w:tc>
        <w:tc>
          <w:tcPr>
            <w:tcW w:w="5812" w:type="dxa"/>
            <w:shd w:val="clear" w:color="auto" w:fill="auto"/>
          </w:tcPr>
          <w:p w14:paraId="2E4EC95A" w14:textId="77777777" w:rsidR="00EB4870" w:rsidRPr="003443FD" w:rsidRDefault="00EB4870" w:rsidP="00085125">
            <w:pPr>
              <w:spacing w:after="0" w:line="240" w:lineRule="auto"/>
              <w:jc w:val="both"/>
              <w:rPr>
                <w:rFonts w:cstheme="minorHAnsi"/>
                <w:b/>
                <w:noProof/>
                <w:lang w:val="nl-NL"/>
              </w:rPr>
            </w:pPr>
            <w:r w:rsidRPr="003443FD">
              <w:rPr>
                <w:rFonts w:cstheme="minorHAnsi"/>
                <w:noProof/>
                <w:lang w:val="nl-NL"/>
              </w:rPr>
              <w:t>Art. 7:1. De naamloze vennootschap is een vennootschap met een kapitaal en waarin de aandeelhouders slechts hun inbreng verbinden.</w:t>
            </w:r>
          </w:p>
        </w:tc>
        <w:tc>
          <w:tcPr>
            <w:tcW w:w="5722" w:type="dxa"/>
            <w:gridSpan w:val="2"/>
            <w:shd w:val="clear" w:color="auto" w:fill="auto"/>
          </w:tcPr>
          <w:p w14:paraId="1F8F3DF1" w14:textId="60BB73D4" w:rsidR="00EB4870" w:rsidRPr="00085125" w:rsidRDefault="00EB4870" w:rsidP="00085125">
            <w:pPr>
              <w:pStyle w:val="Afdeling"/>
              <w:jc w:val="both"/>
              <w:rPr>
                <w:rFonts w:asciiTheme="minorHAnsi" w:hAnsiTheme="minorHAnsi" w:cstheme="minorHAnsi"/>
                <w:b w:val="0"/>
                <w:i w:val="0"/>
                <w:noProof/>
                <w:sz w:val="22"/>
                <w:szCs w:val="22"/>
                <w:lang w:val="fr-FR"/>
              </w:rPr>
            </w:pPr>
            <w:r w:rsidRPr="003443FD">
              <w:rPr>
                <w:rFonts w:asciiTheme="minorHAnsi" w:hAnsiTheme="minorHAnsi" w:cstheme="minorHAnsi"/>
                <w:b w:val="0"/>
                <w:i w:val="0"/>
                <w:noProof/>
                <w:sz w:val="22"/>
                <w:szCs w:val="22"/>
                <w:lang w:val="fr-FR"/>
              </w:rPr>
              <w:t xml:space="preserve">Art. 7:1. La société </w:t>
            </w:r>
            <w:r w:rsidR="00437914">
              <w:rPr>
                <w:rFonts w:asciiTheme="minorHAnsi" w:hAnsiTheme="minorHAnsi" w:cstheme="minorHAnsi"/>
                <w:b w:val="0"/>
                <w:i w:val="0"/>
                <w:noProof/>
                <w:sz w:val="22"/>
                <w:szCs w:val="22"/>
                <w:lang w:val="fr-FR"/>
              </w:rPr>
              <w:t>anonyme est une société dotée d'</w:t>
            </w:r>
            <w:r w:rsidRPr="003443FD">
              <w:rPr>
                <w:rFonts w:asciiTheme="minorHAnsi" w:hAnsiTheme="minorHAnsi" w:cstheme="minorHAnsi"/>
                <w:b w:val="0"/>
                <w:i w:val="0"/>
                <w:noProof/>
                <w:sz w:val="22"/>
                <w:szCs w:val="22"/>
                <w:lang w:val="fr-FR"/>
              </w:rPr>
              <w:t>un capital et dans laquelle les actionnaires n'engagent que leur apport.</w:t>
            </w:r>
          </w:p>
        </w:tc>
      </w:tr>
      <w:tr w:rsidR="00EB4870" w:rsidRPr="00085125" w14:paraId="22D0EEE2" w14:textId="77777777" w:rsidTr="00085125">
        <w:trPr>
          <w:trHeight w:val="936"/>
        </w:trPr>
        <w:tc>
          <w:tcPr>
            <w:tcW w:w="2263" w:type="dxa"/>
          </w:tcPr>
          <w:p w14:paraId="45892DA1" w14:textId="77777777" w:rsidR="00EB4870" w:rsidRDefault="00EB4870" w:rsidP="00B34BC3">
            <w:pPr>
              <w:spacing w:after="0" w:line="240" w:lineRule="auto"/>
              <w:jc w:val="both"/>
              <w:rPr>
                <w:rFonts w:cstheme="minorHAnsi"/>
                <w:lang w:val="nl-NL"/>
              </w:rPr>
            </w:pPr>
            <w:proofErr w:type="spellStart"/>
            <w:r>
              <w:rPr>
                <w:rFonts w:cstheme="minorHAnsi"/>
                <w:lang w:val="nl-NL"/>
              </w:rPr>
              <w:t>MvT</w:t>
            </w:r>
            <w:proofErr w:type="spellEnd"/>
          </w:p>
        </w:tc>
        <w:tc>
          <w:tcPr>
            <w:tcW w:w="5812" w:type="dxa"/>
            <w:shd w:val="clear" w:color="auto" w:fill="auto"/>
          </w:tcPr>
          <w:p w14:paraId="3AA84D2F" w14:textId="77777777" w:rsidR="00EB4870" w:rsidRPr="005D3A1B" w:rsidRDefault="00EB4870" w:rsidP="00B34BC3">
            <w:pPr>
              <w:spacing w:after="0" w:line="240" w:lineRule="auto"/>
              <w:jc w:val="both"/>
              <w:rPr>
                <w:lang w:val="nl-BE"/>
              </w:rPr>
            </w:pPr>
            <w:r w:rsidRPr="005D3A1B">
              <w:rPr>
                <w:lang w:val="nl-BE"/>
              </w:rPr>
              <w:t>Deze bepaling herneemt artikel 437 W.Venn.</w:t>
            </w:r>
          </w:p>
          <w:p w14:paraId="65A5D9CA" w14:textId="77777777" w:rsidR="00EB4870" w:rsidRDefault="00EB4870" w:rsidP="00B34BC3">
            <w:pPr>
              <w:spacing w:after="0" w:line="240" w:lineRule="auto"/>
              <w:jc w:val="both"/>
              <w:rPr>
                <w:lang w:val="nl-BE"/>
              </w:rPr>
            </w:pPr>
          </w:p>
          <w:p w14:paraId="26A112CB" w14:textId="77777777" w:rsidR="00EB4870" w:rsidRPr="005D3A1B" w:rsidRDefault="00EB4870" w:rsidP="00B34BC3">
            <w:pPr>
              <w:spacing w:after="0" w:line="240" w:lineRule="auto"/>
              <w:jc w:val="both"/>
              <w:rPr>
                <w:lang w:val="nl-NL"/>
              </w:rPr>
            </w:pPr>
            <w:r w:rsidRPr="005D3A1B">
              <w:rPr>
                <w:lang w:val="nl-BE"/>
              </w:rPr>
              <w:t xml:space="preserve">De termen “maatschappelijk kapitaal”, die in het Wetboek van vennootschappen werden gebruikt, worden in dit wetboek vervangen door “kapitaal”. De precisering “maatschappelijk” heeft inderdaad geen enkele toegevoegde waarde. Met “kapitaal” wordt het geplaatste kapitaal bedoeld, tenzij anders wordt aangegeven, bijvoorbeeld wanneer sprake is van het gestorte kapitaal, het opgevraagde kapitaal of nog het toegestane kapitaal. </w:t>
            </w:r>
            <w:r w:rsidRPr="005D3A1B">
              <w:rPr>
                <w:lang w:val="nl-NL"/>
              </w:rPr>
              <w:t xml:space="preserve">De regels dat de vennootschap een kapitaal heeft en dat de aandeelhouders slechts hun inbreng verbinden zijn essentiële kenmerken van de naamloze vennootschap en horen daarom, anders dan de Raad van State aanbeveelt, vooraan in boek 7. </w:t>
            </w:r>
          </w:p>
          <w:p w14:paraId="0C5ACB9E" w14:textId="77777777" w:rsidR="00EB4870" w:rsidRDefault="00EB4870" w:rsidP="00B34BC3">
            <w:pPr>
              <w:spacing w:after="0" w:line="240" w:lineRule="auto"/>
              <w:jc w:val="both"/>
              <w:rPr>
                <w:lang w:val="nl-BE"/>
              </w:rPr>
            </w:pPr>
          </w:p>
          <w:p w14:paraId="12422605" w14:textId="77777777" w:rsidR="00EB4870" w:rsidRPr="00BE221B" w:rsidRDefault="00EB4870" w:rsidP="00B34BC3">
            <w:pPr>
              <w:spacing w:after="0" w:line="240" w:lineRule="auto"/>
              <w:jc w:val="both"/>
              <w:rPr>
                <w:lang w:val="nl-BE"/>
              </w:rPr>
            </w:pPr>
            <w:r w:rsidRPr="005D3A1B">
              <w:rPr>
                <w:lang w:val="nl-BE"/>
              </w:rPr>
              <w:t>Artikel 438 W.Venn. wordt opgeheven. Zoals in de algemene inleiding van het wetboek in ontwerp is aangegeven, wordt de vennootschap die een openbaar beroep op het spaarwezen doet of heeft gedaan afgeschaft. De regels die op deze vennootschap toepasselijk waren blijven evenwel toepassing vinden op genoteerde vennootschappen.</w:t>
            </w:r>
          </w:p>
        </w:tc>
        <w:tc>
          <w:tcPr>
            <w:tcW w:w="5722" w:type="dxa"/>
            <w:gridSpan w:val="2"/>
            <w:shd w:val="clear" w:color="auto" w:fill="auto"/>
          </w:tcPr>
          <w:p w14:paraId="0EB95B72" w14:textId="77777777" w:rsidR="00EB4870" w:rsidRPr="00B34BC3" w:rsidRDefault="00EB4870" w:rsidP="00B34BC3">
            <w:pPr>
              <w:spacing w:after="0" w:line="240" w:lineRule="auto"/>
              <w:jc w:val="both"/>
              <w:rPr>
                <w:lang w:val="fr-FR"/>
              </w:rPr>
            </w:pPr>
            <w:r w:rsidRPr="005D3A1B">
              <w:rPr>
                <w:lang w:val="fr-BE"/>
              </w:rPr>
              <w:t>Cette disposition reprend l’article 437 C. Soc.</w:t>
            </w:r>
          </w:p>
          <w:p w14:paraId="77F5DEC8" w14:textId="77777777" w:rsidR="00EB4870" w:rsidRDefault="00EB4870" w:rsidP="00B34BC3">
            <w:pPr>
              <w:spacing w:after="0" w:line="240" w:lineRule="auto"/>
              <w:jc w:val="both"/>
              <w:rPr>
                <w:lang w:val="fr-BE"/>
              </w:rPr>
            </w:pPr>
          </w:p>
          <w:p w14:paraId="2E708B9A" w14:textId="77777777" w:rsidR="00EB4870" w:rsidRDefault="00EB4870" w:rsidP="00B34BC3">
            <w:pPr>
              <w:spacing w:after="0" w:line="240" w:lineRule="auto"/>
              <w:jc w:val="both"/>
              <w:rPr>
                <w:lang w:val="fr-BE"/>
              </w:rPr>
            </w:pPr>
            <w:r w:rsidRPr="005D3A1B">
              <w:rPr>
                <w:lang w:val="fr-BE"/>
              </w:rPr>
              <w:t xml:space="preserve">Les termes « capital social » utilisés dans le Code des sociétés sont remplacés par « capital » dans le présent code. L’adjectif qualificatif « social » n’a en effet aucune valeur ajoutée. Le terme « capital » recouvre le capital souscrit, à moins que le contraire ne soit indiqué, par exemple lorsqu’il est question du « capital libéré », du « capital appelé » ou encore du « capital autorisé ». Les règles selon lesquelles la société est dotée d’un capital et que les actionnaires n’engagent que leur apport étant des caractéristiques essentielles de la société anonyme, il convient de l’énoncer, contrairement à l’avis du Conseil d’État, en tête du livre 7. </w:t>
            </w:r>
          </w:p>
          <w:p w14:paraId="2EA870FB" w14:textId="77777777" w:rsidR="00EB4870" w:rsidRDefault="00EB4870" w:rsidP="00B34BC3">
            <w:pPr>
              <w:spacing w:after="0" w:line="240" w:lineRule="auto"/>
              <w:jc w:val="both"/>
              <w:rPr>
                <w:lang w:val="fr-BE"/>
              </w:rPr>
            </w:pPr>
          </w:p>
          <w:p w14:paraId="0F032574" w14:textId="77777777" w:rsidR="00EB4870" w:rsidRPr="005D3A1B" w:rsidRDefault="00EB4870" w:rsidP="00B34BC3">
            <w:pPr>
              <w:spacing w:after="0" w:line="240" w:lineRule="auto"/>
              <w:jc w:val="both"/>
              <w:rPr>
                <w:lang w:val="fr-BE"/>
              </w:rPr>
            </w:pPr>
            <w:r w:rsidRPr="005D3A1B">
              <w:rPr>
                <w:lang w:val="fr-BE"/>
              </w:rPr>
              <w:t>L’article 438 C. Soc. est abrogé. Comme indiqué dans l’introduction générale du projet de code, la société ayant fait ou faisant publiquement appel à l'épargne est supprimée. Les règles qui s’appliquaient à cette société continuent cependant à s’appliquer aux sociétés cotées.</w:t>
            </w:r>
          </w:p>
          <w:p w14:paraId="06C08592" w14:textId="77777777" w:rsidR="00EB4870" w:rsidRPr="005D3A1B" w:rsidRDefault="00EB4870" w:rsidP="00B34BC3">
            <w:pPr>
              <w:spacing w:after="0" w:line="240" w:lineRule="auto"/>
              <w:jc w:val="both"/>
              <w:rPr>
                <w:lang w:val="fr-BE"/>
              </w:rPr>
            </w:pPr>
          </w:p>
        </w:tc>
      </w:tr>
      <w:tr w:rsidR="00EB4870" w:rsidRPr="00B34BC3" w14:paraId="2840F497" w14:textId="77777777" w:rsidTr="00085125">
        <w:trPr>
          <w:trHeight w:val="436"/>
        </w:trPr>
        <w:tc>
          <w:tcPr>
            <w:tcW w:w="2263" w:type="dxa"/>
          </w:tcPr>
          <w:p w14:paraId="44691A76" w14:textId="77777777" w:rsidR="00EB4870" w:rsidRDefault="00EB4870" w:rsidP="00B34BC3">
            <w:pPr>
              <w:spacing w:after="0" w:line="240" w:lineRule="auto"/>
              <w:jc w:val="both"/>
              <w:rPr>
                <w:rFonts w:cstheme="minorHAnsi"/>
                <w:lang w:val="nl-NL"/>
              </w:rPr>
            </w:pPr>
            <w:proofErr w:type="spellStart"/>
            <w:r>
              <w:rPr>
                <w:rFonts w:cstheme="minorHAnsi"/>
                <w:lang w:val="nl-NL"/>
              </w:rPr>
              <w:t>RvSt</w:t>
            </w:r>
            <w:proofErr w:type="spellEnd"/>
          </w:p>
        </w:tc>
        <w:tc>
          <w:tcPr>
            <w:tcW w:w="5812" w:type="dxa"/>
            <w:shd w:val="clear" w:color="auto" w:fill="auto"/>
          </w:tcPr>
          <w:p w14:paraId="0F28E9DA" w14:textId="77777777" w:rsidR="00EB4870" w:rsidRPr="00FE22FE" w:rsidRDefault="00EB4870" w:rsidP="00B34BC3">
            <w:pPr>
              <w:spacing w:line="240" w:lineRule="auto"/>
              <w:jc w:val="both"/>
              <w:rPr>
                <w:rFonts w:cstheme="minorHAnsi"/>
                <w:noProof/>
                <w:lang w:val="nl-NL"/>
              </w:rPr>
            </w:pPr>
            <w:r>
              <w:rPr>
                <w:rFonts w:cstheme="minorHAnsi"/>
                <w:noProof/>
                <w:lang w:val="nl-NL"/>
              </w:rPr>
              <w:t>Geen opmerkingen.</w:t>
            </w:r>
          </w:p>
        </w:tc>
        <w:tc>
          <w:tcPr>
            <w:tcW w:w="5722" w:type="dxa"/>
            <w:gridSpan w:val="2"/>
            <w:shd w:val="clear" w:color="auto" w:fill="auto"/>
          </w:tcPr>
          <w:p w14:paraId="2FA00086" w14:textId="77777777" w:rsidR="00EB4870" w:rsidRPr="00FE22FE" w:rsidRDefault="00EB4870" w:rsidP="00B34BC3">
            <w:pPr>
              <w:pStyle w:val="Afdeling"/>
              <w:jc w:val="both"/>
              <w:rPr>
                <w:rFonts w:asciiTheme="minorHAnsi" w:hAnsiTheme="minorHAnsi" w:cstheme="minorHAnsi"/>
                <w:b w:val="0"/>
                <w:i w:val="0"/>
                <w:noProof/>
                <w:sz w:val="22"/>
                <w:szCs w:val="22"/>
                <w:lang w:val="fr-FR"/>
              </w:rPr>
            </w:pPr>
            <w:r>
              <w:rPr>
                <w:rFonts w:asciiTheme="minorHAnsi" w:hAnsiTheme="minorHAnsi" w:cstheme="minorHAnsi"/>
                <w:b w:val="0"/>
                <w:i w:val="0"/>
                <w:noProof/>
                <w:sz w:val="22"/>
                <w:szCs w:val="22"/>
                <w:lang w:val="fr-FR"/>
              </w:rPr>
              <w:t>Pas de remarques.</w:t>
            </w:r>
          </w:p>
        </w:tc>
      </w:tr>
    </w:tbl>
    <w:p w14:paraId="5EF40B83" w14:textId="77777777" w:rsidR="000D42B6" w:rsidRPr="00FE22FE" w:rsidRDefault="000D42B6">
      <w:pPr>
        <w:rPr>
          <w:lang w:val="fr-FR"/>
        </w:rPr>
      </w:pPr>
    </w:p>
    <w:sectPr w:rsidR="000D42B6" w:rsidRPr="00FE22FE"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8B8A2" w14:textId="77777777" w:rsidR="001551FB" w:rsidRDefault="001551FB" w:rsidP="000D42B6">
      <w:pPr>
        <w:spacing w:after="0" w:line="240" w:lineRule="auto"/>
      </w:pPr>
      <w:r>
        <w:separator/>
      </w:r>
    </w:p>
  </w:endnote>
  <w:endnote w:type="continuationSeparator" w:id="0">
    <w:p w14:paraId="64958E2A" w14:textId="77777777" w:rsidR="001551FB" w:rsidRDefault="001551FB"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C4B21" w14:textId="77777777" w:rsidR="001551FB" w:rsidRDefault="001551FB" w:rsidP="000D42B6">
      <w:pPr>
        <w:spacing w:after="0" w:line="240" w:lineRule="auto"/>
      </w:pPr>
      <w:r>
        <w:separator/>
      </w:r>
    </w:p>
  </w:footnote>
  <w:footnote w:type="continuationSeparator" w:id="0">
    <w:p w14:paraId="586CF44A" w14:textId="77777777" w:rsidR="001551FB" w:rsidRDefault="001551FB"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45500"/>
    <w:rsid w:val="00085125"/>
    <w:rsid w:val="000D42B6"/>
    <w:rsid w:val="001551FB"/>
    <w:rsid w:val="001777AA"/>
    <w:rsid w:val="00200CB2"/>
    <w:rsid w:val="00316CCF"/>
    <w:rsid w:val="003443FD"/>
    <w:rsid w:val="00393BDA"/>
    <w:rsid w:val="003A7628"/>
    <w:rsid w:val="003D55CF"/>
    <w:rsid w:val="00417C7D"/>
    <w:rsid w:val="00427696"/>
    <w:rsid w:val="00437914"/>
    <w:rsid w:val="004A303D"/>
    <w:rsid w:val="00512C24"/>
    <w:rsid w:val="00552278"/>
    <w:rsid w:val="005B33B1"/>
    <w:rsid w:val="00696D59"/>
    <w:rsid w:val="007A6A5E"/>
    <w:rsid w:val="008A299A"/>
    <w:rsid w:val="00A46D88"/>
    <w:rsid w:val="00B0539A"/>
    <w:rsid w:val="00B34BC3"/>
    <w:rsid w:val="00BB0F3C"/>
    <w:rsid w:val="00DC54F2"/>
    <w:rsid w:val="00E17723"/>
    <w:rsid w:val="00EB4870"/>
    <w:rsid w:val="00FA09D7"/>
    <w:rsid w:val="00FE22F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31A6"/>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3443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customStyle="1" w:styleId="Afdeling">
    <w:name w:val="Afdeling"/>
    <w:basedOn w:val="Kop1"/>
    <w:rsid w:val="003443FD"/>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3443FD"/>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23D07-7C24-BD45-B12B-DC546303F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1105</Words>
  <Characters>6078</Characters>
  <Application>Microsoft Macintosh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cp:revision>
  <dcterms:created xsi:type="dcterms:W3CDTF">2021-11-30T22:54:00Z</dcterms:created>
  <dcterms:modified xsi:type="dcterms:W3CDTF">2021-11-30T22:54:00Z</dcterms:modified>
</cp:coreProperties>
</file>