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386"/>
        <w:gridCol w:w="567"/>
      </w:tblGrid>
      <w:tr w:rsidR="00AE4A22" w:rsidRPr="0080197D" w14:paraId="6CEAF06C" w14:textId="77777777" w:rsidTr="00AE4A22">
        <w:tc>
          <w:tcPr>
            <w:tcW w:w="13178" w:type="dxa"/>
            <w:gridSpan w:val="3"/>
          </w:tcPr>
          <w:p w14:paraId="759FFF95" w14:textId="77777777" w:rsidR="00AE4A22" w:rsidRPr="00B07AC9" w:rsidRDefault="00AE4A22" w:rsidP="00B04640">
            <w:pPr>
              <w:rPr>
                <w:b/>
                <w:sz w:val="32"/>
                <w:szCs w:val="32"/>
                <w:lang w:val="nl-BE"/>
              </w:rPr>
            </w:pPr>
            <w:r>
              <w:rPr>
                <w:b/>
                <w:sz w:val="32"/>
                <w:szCs w:val="32"/>
                <w:lang w:val="nl-BE"/>
              </w:rPr>
              <w:t>Hoofdstuk 3. – Storting van het kapitaal.</w:t>
            </w:r>
          </w:p>
        </w:tc>
        <w:tc>
          <w:tcPr>
            <w:tcW w:w="567" w:type="dxa"/>
            <w:shd w:val="clear" w:color="auto" w:fill="auto"/>
          </w:tcPr>
          <w:p w14:paraId="161CE0DB" w14:textId="77777777" w:rsidR="00AE4A22" w:rsidRPr="00382324" w:rsidRDefault="00AE4A22" w:rsidP="00B04640">
            <w:pPr>
              <w:rPr>
                <w:rFonts w:asciiTheme="majorHAnsi" w:eastAsiaTheme="majorEastAsia" w:hAnsiTheme="majorHAnsi" w:cstheme="majorBidi"/>
                <w:b/>
                <w:bCs/>
                <w:color w:val="2E74B5" w:themeColor="accent1" w:themeShade="BF"/>
                <w:sz w:val="32"/>
                <w:szCs w:val="28"/>
                <w:lang w:val="nl-BE"/>
              </w:rPr>
            </w:pPr>
          </w:p>
        </w:tc>
      </w:tr>
      <w:tr w:rsidR="000D42B6" w:rsidRPr="002A763A" w14:paraId="21731B57" w14:textId="77777777" w:rsidTr="00E17723">
        <w:tc>
          <w:tcPr>
            <w:tcW w:w="1980" w:type="dxa"/>
          </w:tcPr>
          <w:p w14:paraId="0C16484A" w14:textId="77777777" w:rsidR="000D42B6" w:rsidRPr="00B07AC9" w:rsidRDefault="000D42B6" w:rsidP="00B04640">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602363">
              <w:rPr>
                <w:b/>
                <w:sz w:val="32"/>
                <w:szCs w:val="32"/>
                <w:lang w:val="nl-BE"/>
              </w:rPr>
              <w:t>11</w:t>
            </w:r>
          </w:p>
        </w:tc>
        <w:tc>
          <w:tcPr>
            <w:tcW w:w="11765" w:type="dxa"/>
            <w:gridSpan w:val="3"/>
            <w:shd w:val="clear" w:color="auto" w:fill="auto"/>
          </w:tcPr>
          <w:p w14:paraId="4DDFE578" w14:textId="77777777" w:rsidR="000D42B6" w:rsidRPr="00382324" w:rsidRDefault="000D42B6" w:rsidP="00B04640">
            <w:pPr>
              <w:rPr>
                <w:rFonts w:asciiTheme="majorHAnsi" w:eastAsiaTheme="majorEastAsia" w:hAnsiTheme="majorHAnsi" w:cstheme="majorBidi"/>
                <w:b/>
                <w:bCs/>
                <w:color w:val="2E74B5" w:themeColor="accent1" w:themeShade="BF"/>
                <w:sz w:val="32"/>
                <w:szCs w:val="28"/>
                <w:lang w:val="nl-BE"/>
              </w:rPr>
            </w:pPr>
          </w:p>
        </w:tc>
      </w:tr>
      <w:tr w:rsidR="005B33B1" w:rsidRPr="002A763A" w14:paraId="741B7C56" w14:textId="77777777" w:rsidTr="00E17723">
        <w:tc>
          <w:tcPr>
            <w:tcW w:w="1980" w:type="dxa"/>
          </w:tcPr>
          <w:p w14:paraId="57EC9DEA" w14:textId="77777777" w:rsidR="005B33B1" w:rsidRPr="00B07AC9" w:rsidRDefault="005B33B1" w:rsidP="00B04640">
            <w:pPr>
              <w:rPr>
                <w:b/>
                <w:sz w:val="32"/>
                <w:szCs w:val="32"/>
                <w:lang w:val="nl-BE"/>
              </w:rPr>
            </w:pPr>
          </w:p>
        </w:tc>
        <w:tc>
          <w:tcPr>
            <w:tcW w:w="11765" w:type="dxa"/>
            <w:gridSpan w:val="3"/>
            <w:shd w:val="clear" w:color="auto" w:fill="auto"/>
          </w:tcPr>
          <w:p w14:paraId="2B72F486" w14:textId="77777777" w:rsidR="005B33B1" w:rsidRPr="00382324" w:rsidRDefault="005B33B1" w:rsidP="00B04640">
            <w:pPr>
              <w:rPr>
                <w:rFonts w:asciiTheme="majorHAnsi" w:eastAsiaTheme="majorEastAsia" w:hAnsiTheme="majorHAnsi" w:cstheme="majorBidi"/>
                <w:b/>
                <w:bCs/>
                <w:color w:val="2E74B5" w:themeColor="accent1" w:themeShade="BF"/>
                <w:sz w:val="32"/>
                <w:szCs w:val="28"/>
                <w:lang w:val="nl-BE"/>
              </w:rPr>
            </w:pPr>
          </w:p>
        </w:tc>
      </w:tr>
      <w:tr w:rsidR="00602363" w:rsidRPr="0080197D" w14:paraId="2A321F4E" w14:textId="77777777" w:rsidTr="00B04640">
        <w:trPr>
          <w:trHeight w:val="1086"/>
        </w:trPr>
        <w:tc>
          <w:tcPr>
            <w:tcW w:w="1980" w:type="dxa"/>
          </w:tcPr>
          <w:p w14:paraId="5D7DF044" w14:textId="77777777" w:rsidR="00602363" w:rsidRDefault="00602363" w:rsidP="00B04640">
            <w:pPr>
              <w:spacing w:after="0" w:line="240" w:lineRule="auto"/>
              <w:jc w:val="both"/>
              <w:rPr>
                <w:rFonts w:cs="Calibri"/>
                <w:lang w:val="nl-BE"/>
              </w:rPr>
            </w:pPr>
            <w:r>
              <w:rPr>
                <w:rFonts w:cs="Calibri"/>
                <w:lang w:val="nl-BE"/>
              </w:rPr>
              <w:t>WVV</w:t>
            </w:r>
          </w:p>
        </w:tc>
        <w:tc>
          <w:tcPr>
            <w:tcW w:w="5812" w:type="dxa"/>
            <w:shd w:val="clear" w:color="auto" w:fill="auto"/>
          </w:tcPr>
          <w:p w14:paraId="437758D0" w14:textId="77777777" w:rsidR="00602363" w:rsidRPr="00602363" w:rsidRDefault="00602363" w:rsidP="00B04640">
            <w:pPr>
              <w:spacing w:after="0" w:line="240" w:lineRule="auto"/>
              <w:jc w:val="both"/>
              <w:rPr>
                <w:rFonts w:cs="Calibri"/>
                <w:lang w:val="nl-BE"/>
              </w:rPr>
            </w:pPr>
            <w:r w:rsidRPr="00D560CE">
              <w:rPr>
                <w:rFonts w:cs="Calibri"/>
                <w:lang w:val="nl-NL"/>
              </w:rPr>
              <w:t>Vanaf de oprichting van de vennootschap moet het kapitaal zijn volgestort ten belope van het minimum bepaald in artikel 7:2.</w:t>
            </w:r>
          </w:p>
          <w:p w14:paraId="549703EB" w14:textId="77777777" w:rsidR="00602363" w:rsidRDefault="00602363" w:rsidP="00B04640">
            <w:pPr>
              <w:spacing w:after="0" w:line="240" w:lineRule="auto"/>
              <w:jc w:val="both"/>
              <w:rPr>
                <w:rFonts w:cs="Calibri"/>
                <w:lang w:val="nl-NL"/>
              </w:rPr>
            </w:pPr>
          </w:p>
          <w:p w14:paraId="407E3ED7" w14:textId="77777777" w:rsidR="00602363" w:rsidRDefault="00602363" w:rsidP="00B04640">
            <w:pPr>
              <w:spacing w:after="0" w:line="240" w:lineRule="auto"/>
              <w:jc w:val="both"/>
              <w:rPr>
                <w:rFonts w:cs="Calibri"/>
                <w:lang w:val="nl-NL"/>
              </w:rPr>
            </w:pPr>
            <w:r w:rsidRPr="00D560CE">
              <w:rPr>
                <w:rFonts w:cs="Calibri"/>
                <w:lang w:val="nl-NL"/>
              </w:rPr>
              <w:t>Bovendien:</w:t>
            </w:r>
          </w:p>
          <w:p w14:paraId="463D8A3C" w14:textId="77777777" w:rsidR="00602363" w:rsidRDefault="00602363" w:rsidP="00B04640">
            <w:pPr>
              <w:spacing w:after="0" w:line="240" w:lineRule="auto"/>
              <w:jc w:val="both"/>
              <w:rPr>
                <w:rFonts w:cs="Calibri"/>
                <w:lang w:val="nl-NL"/>
              </w:rPr>
            </w:pPr>
          </w:p>
          <w:p w14:paraId="41ECE841" w14:textId="77777777" w:rsidR="00602363" w:rsidRDefault="00602363" w:rsidP="00B04640">
            <w:pPr>
              <w:spacing w:after="0" w:line="240" w:lineRule="auto"/>
              <w:jc w:val="both"/>
              <w:rPr>
                <w:rFonts w:cs="Calibri"/>
                <w:lang w:val="nl-NL"/>
              </w:rPr>
            </w:pPr>
            <w:r w:rsidRPr="00D560CE">
              <w:rPr>
                <w:rFonts w:cs="Calibri"/>
                <w:lang w:val="nl-NL"/>
              </w:rPr>
              <w:t xml:space="preserve">  1° moet op ieder aandeel dat overeenstemt met een inbreng in geld en op ieder aandeel dat geheel of ten dele overeenstemt met een inbreng in natura, een vierde worden gestort;</w:t>
            </w:r>
          </w:p>
          <w:p w14:paraId="3896D1E4" w14:textId="77777777" w:rsidR="00602363" w:rsidRDefault="00602363" w:rsidP="00B04640">
            <w:pPr>
              <w:spacing w:after="0" w:line="240" w:lineRule="auto"/>
              <w:jc w:val="both"/>
              <w:rPr>
                <w:rFonts w:cs="Calibri"/>
                <w:lang w:val="nl-NL"/>
              </w:rPr>
            </w:pPr>
          </w:p>
          <w:p w14:paraId="0CFEEE39" w14:textId="77777777" w:rsidR="00602363" w:rsidRPr="00B04640" w:rsidRDefault="00602363" w:rsidP="00B04640">
            <w:pPr>
              <w:spacing w:after="0" w:line="240" w:lineRule="auto"/>
              <w:jc w:val="both"/>
              <w:rPr>
                <w:rFonts w:cs="Calibri"/>
                <w:b/>
                <w:lang w:val="nl-NL"/>
              </w:rPr>
            </w:pPr>
            <w:r w:rsidRPr="00D560CE">
              <w:rPr>
                <w:rFonts w:cs="Calibri"/>
                <w:lang w:val="nl-BE"/>
              </w:rPr>
              <w:t xml:space="preserve">  </w:t>
            </w:r>
            <w:r w:rsidRPr="00D560CE">
              <w:rPr>
                <w:rFonts w:cs="Calibri"/>
                <w:lang w:val="nl-NL"/>
              </w:rPr>
              <w:t>2° moeten de aandelen die geheel of ten dele inbrengen in natura vertegenwoordigen, volgestort zijn binnen een termijn van vijf jaar na de oprichting van de vennootschap.</w:t>
            </w:r>
          </w:p>
        </w:tc>
        <w:tc>
          <w:tcPr>
            <w:tcW w:w="5953" w:type="dxa"/>
            <w:gridSpan w:val="2"/>
            <w:shd w:val="clear" w:color="auto" w:fill="auto"/>
          </w:tcPr>
          <w:p w14:paraId="2B05C4BE" w14:textId="77777777" w:rsidR="00602363" w:rsidRDefault="00602363" w:rsidP="00B04640">
            <w:pPr>
              <w:spacing w:after="0" w:line="240" w:lineRule="auto"/>
              <w:jc w:val="both"/>
              <w:rPr>
                <w:rFonts w:cs="Calibri"/>
                <w:lang w:val="fr-FR"/>
              </w:rPr>
            </w:pPr>
            <w:r w:rsidRPr="00D560CE">
              <w:rPr>
                <w:rFonts w:cs="Calibri"/>
                <w:lang w:val="fr-FR"/>
              </w:rPr>
              <w:t xml:space="preserve">Dès la constitution de la société, le capital doit être libéré intégralement à concurrence du minimum fixe à l'article </w:t>
            </w:r>
            <w:proofErr w:type="gramStart"/>
            <w:r w:rsidRPr="00D560CE">
              <w:rPr>
                <w:rFonts w:cs="Calibri"/>
                <w:lang w:val="fr-FR"/>
              </w:rPr>
              <w:t>7:</w:t>
            </w:r>
            <w:proofErr w:type="gramEnd"/>
            <w:r w:rsidRPr="00D560CE">
              <w:rPr>
                <w:rFonts w:cs="Calibri"/>
                <w:lang w:val="fr-FR"/>
              </w:rPr>
              <w:t>2.</w:t>
            </w:r>
          </w:p>
          <w:p w14:paraId="1759842B" w14:textId="77777777" w:rsidR="00602363" w:rsidRDefault="00602363" w:rsidP="00B04640">
            <w:pPr>
              <w:spacing w:after="0" w:line="240" w:lineRule="auto"/>
              <w:jc w:val="both"/>
              <w:rPr>
                <w:rFonts w:cs="Calibri"/>
                <w:lang w:val="fr-FR"/>
              </w:rPr>
            </w:pPr>
          </w:p>
          <w:p w14:paraId="6030229C" w14:textId="77777777" w:rsidR="00602363" w:rsidRDefault="00602363" w:rsidP="00B04640">
            <w:pPr>
              <w:spacing w:after="0" w:line="240" w:lineRule="auto"/>
              <w:jc w:val="both"/>
              <w:rPr>
                <w:rFonts w:cs="Calibri"/>
                <w:lang w:val="fr-FR"/>
              </w:rPr>
            </w:pPr>
            <w:r w:rsidRPr="00D560CE">
              <w:rPr>
                <w:rFonts w:cs="Calibri"/>
                <w:lang w:val="fr-FR"/>
              </w:rPr>
              <w:t>En outre :</w:t>
            </w:r>
          </w:p>
          <w:p w14:paraId="31ACB555" w14:textId="77777777" w:rsidR="00602363" w:rsidRDefault="00602363" w:rsidP="00B04640">
            <w:pPr>
              <w:spacing w:after="0" w:line="240" w:lineRule="auto"/>
              <w:jc w:val="both"/>
              <w:rPr>
                <w:rFonts w:cs="Calibri"/>
                <w:lang w:val="fr-FR"/>
              </w:rPr>
            </w:pPr>
          </w:p>
          <w:p w14:paraId="49B53E9E" w14:textId="77777777" w:rsidR="00602363" w:rsidRDefault="00602363" w:rsidP="00B04640">
            <w:pPr>
              <w:spacing w:after="0" w:line="240" w:lineRule="auto"/>
              <w:jc w:val="both"/>
              <w:rPr>
                <w:rFonts w:cs="Calibri"/>
                <w:lang w:val="fr-FR"/>
              </w:rPr>
            </w:pPr>
            <w:r w:rsidRPr="00D560CE">
              <w:rPr>
                <w:rFonts w:cs="Calibri"/>
                <w:lang w:val="fr-BE"/>
              </w:rPr>
              <w:t xml:space="preserve">  </w:t>
            </w:r>
            <w:r w:rsidRPr="00D560CE">
              <w:rPr>
                <w:rFonts w:cs="Calibri"/>
                <w:lang w:val="fr-FR"/>
              </w:rPr>
              <w:t xml:space="preserve">1° chaque action correspondant à un apport en numéraire et chaque action correspondant, en tout ou en partie, à un apport en nature doivent être libérées d'un </w:t>
            </w:r>
            <w:proofErr w:type="gramStart"/>
            <w:r w:rsidRPr="00D560CE">
              <w:rPr>
                <w:rFonts w:cs="Calibri"/>
                <w:lang w:val="fr-FR"/>
              </w:rPr>
              <w:t>quart;</w:t>
            </w:r>
            <w:proofErr w:type="gramEnd"/>
          </w:p>
          <w:p w14:paraId="49300AD7" w14:textId="77777777" w:rsidR="00602363" w:rsidRDefault="00602363" w:rsidP="00B04640">
            <w:pPr>
              <w:spacing w:after="0" w:line="240" w:lineRule="auto"/>
              <w:jc w:val="both"/>
              <w:rPr>
                <w:rFonts w:cs="Calibri"/>
                <w:lang w:val="fr-FR"/>
              </w:rPr>
            </w:pPr>
          </w:p>
          <w:p w14:paraId="531CB2F8" w14:textId="77777777" w:rsidR="00602363" w:rsidRPr="00D560CE" w:rsidRDefault="00602363" w:rsidP="00B04640">
            <w:pPr>
              <w:spacing w:after="0" w:line="240" w:lineRule="auto"/>
              <w:jc w:val="both"/>
              <w:rPr>
                <w:rFonts w:cs="Calibri"/>
                <w:bCs/>
                <w:iCs/>
                <w:lang w:val="fr-FR"/>
              </w:rPr>
            </w:pPr>
            <w:r w:rsidRPr="00D560CE">
              <w:rPr>
                <w:rFonts w:cs="Calibri"/>
                <w:bCs/>
                <w:iCs/>
                <w:lang w:val="fr-BE"/>
              </w:rPr>
              <w:t xml:space="preserve">  </w:t>
            </w:r>
            <w:r w:rsidRPr="00D560CE">
              <w:rPr>
                <w:rFonts w:cs="Calibri"/>
                <w:bCs/>
                <w:iCs/>
                <w:lang w:val="fr-FR"/>
              </w:rPr>
              <w:t>2° les actions correspondant en tout ou en partie à des apports en nature doivent être entièrement libérées dans un délai de cinq ans à dater de la constitution de la société.</w:t>
            </w:r>
          </w:p>
          <w:p w14:paraId="0F0ABE45" w14:textId="77777777" w:rsidR="00602363" w:rsidRPr="00A527CC" w:rsidRDefault="00602363" w:rsidP="00B04640">
            <w:pPr>
              <w:spacing w:after="0" w:line="240" w:lineRule="auto"/>
              <w:jc w:val="both"/>
              <w:rPr>
                <w:rFonts w:cs="Calibri"/>
                <w:lang w:val="fr-FR"/>
              </w:rPr>
            </w:pPr>
          </w:p>
        </w:tc>
      </w:tr>
      <w:tr w:rsidR="0080197D" w:rsidRPr="0080197D" w14:paraId="3208D8BB" w14:textId="77777777" w:rsidTr="00B04640">
        <w:trPr>
          <w:trHeight w:val="1086"/>
        </w:trPr>
        <w:tc>
          <w:tcPr>
            <w:tcW w:w="1980" w:type="dxa"/>
          </w:tcPr>
          <w:p w14:paraId="5FE7BCB0" w14:textId="77777777" w:rsidR="0080197D" w:rsidRPr="003B1103" w:rsidRDefault="0080197D" w:rsidP="002A31B3">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583EA578" w14:textId="77777777" w:rsidR="0080197D" w:rsidRDefault="0080197D" w:rsidP="002A31B3">
            <w:pPr>
              <w:spacing w:after="0" w:line="240" w:lineRule="auto"/>
              <w:jc w:val="both"/>
              <w:rPr>
                <w:rFonts w:cs="Calibri"/>
                <w:lang w:val="nl-BE"/>
              </w:rPr>
            </w:pPr>
            <w:r w:rsidRPr="003B1103">
              <w:rPr>
                <w:rFonts w:cs="Calibri"/>
                <w:lang w:val="nl-BE"/>
              </w:rPr>
              <w:t>Art. 7:11. Vanaf de oprichting van de vennootschap moet het kapitaal zijn volgestort ten belope van het minimum bepaald in artikel 7:2.</w:t>
            </w:r>
          </w:p>
          <w:p w14:paraId="765EDE42" w14:textId="77777777" w:rsidR="0080197D" w:rsidRPr="003B1103" w:rsidRDefault="0080197D" w:rsidP="002A31B3">
            <w:pPr>
              <w:spacing w:after="0" w:line="240" w:lineRule="auto"/>
              <w:jc w:val="both"/>
              <w:rPr>
                <w:rFonts w:cs="Calibri"/>
                <w:lang w:val="nl-BE"/>
              </w:rPr>
            </w:pPr>
          </w:p>
          <w:p w14:paraId="308178DF" w14:textId="77777777" w:rsidR="0080197D" w:rsidRDefault="0080197D" w:rsidP="002A31B3">
            <w:pPr>
              <w:spacing w:after="0" w:line="240" w:lineRule="auto"/>
              <w:jc w:val="both"/>
              <w:rPr>
                <w:rFonts w:cs="Calibri"/>
                <w:lang w:val="nl-BE"/>
              </w:rPr>
            </w:pPr>
            <w:r w:rsidRPr="003B1103">
              <w:rPr>
                <w:rFonts w:cs="Calibri"/>
                <w:lang w:val="nl-BE"/>
              </w:rPr>
              <w:t>Bovendien:</w:t>
            </w:r>
          </w:p>
          <w:p w14:paraId="7206D641" w14:textId="77777777" w:rsidR="0080197D" w:rsidRPr="003B1103" w:rsidRDefault="0080197D" w:rsidP="002A31B3">
            <w:pPr>
              <w:spacing w:after="0" w:line="240" w:lineRule="auto"/>
              <w:jc w:val="both"/>
              <w:rPr>
                <w:rFonts w:cs="Calibri"/>
                <w:lang w:val="nl-BE"/>
              </w:rPr>
            </w:pPr>
          </w:p>
          <w:p w14:paraId="0B567440" w14:textId="77777777" w:rsidR="0080197D" w:rsidRDefault="0080197D" w:rsidP="002A31B3">
            <w:pPr>
              <w:spacing w:after="0" w:line="240" w:lineRule="auto"/>
              <w:jc w:val="both"/>
              <w:rPr>
                <w:rFonts w:cs="Calibri"/>
                <w:lang w:val="nl-BE"/>
              </w:rPr>
            </w:pPr>
            <w:r w:rsidRPr="003B1103">
              <w:rPr>
                <w:rFonts w:cs="Calibri"/>
                <w:lang w:val="nl-BE"/>
              </w:rPr>
              <w:t xml:space="preserve">  1° moet op ieder aandeel dat overeenstemt met een inbreng in geld en op ieder aandeel dat geheel of ten dele overeenstemt met een inbreng in natura, een vierde worden gestort;</w:t>
            </w:r>
          </w:p>
          <w:p w14:paraId="0EB67FD0" w14:textId="77777777" w:rsidR="0080197D" w:rsidRPr="003B1103" w:rsidRDefault="0080197D" w:rsidP="002A31B3">
            <w:pPr>
              <w:spacing w:after="0" w:line="240" w:lineRule="auto"/>
              <w:jc w:val="both"/>
              <w:rPr>
                <w:rFonts w:cs="Calibri"/>
                <w:lang w:val="nl-BE"/>
              </w:rPr>
            </w:pPr>
          </w:p>
          <w:p w14:paraId="0A5209C2" w14:textId="77777777" w:rsidR="0080197D" w:rsidRPr="003B1103" w:rsidRDefault="0080197D" w:rsidP="002A31B3">
            <w:pPr>
              <w:spacing w:after="0" w:line="240" w:lineRule="auto"/>
              <w:jc w:val="both"/>
              <w:rPr>
                <w:rFonts w:cs="Calibri"/>
                <w:lang w:val="nl-BE"/>
              </w:rPr>
            </w:pPr>
            <w:r w:rsidRPr="003B1103">
              <w:rPr>
                <w:rFonts w:cs="Calibri"/>
                <w:lang w:val="nl-BE"/>
              </w:rPr>
              <w:t xml:space="preserve">  2° moeten de aandelen die geheel of ten dele inbrengen in natura vertegenwoordigen, volgestort zijn binnen een termijn van vijf jaar na de oprichting van de vennootschap.</w:t>
            </w:r>
          </w:p>
        </w:tc>
        <w:tc>
          <w:tcPr>
            <w:tcW w:w="5953" w:type="dxa"/>
            <w:gridSpan w:val="2"/>
            <w:shd w:val="clear" w:color="auto" w:fill="auto"/>
          </w:tcPr>
          <w:p w14:paraId="084D1DFD" w14:textId="77777777" w:rsidR="0080197D" w:rsidRPr="003B1103" w:rsidRDefault="0080197D" w:rsidP="002A31B3">
            <w:pPr>
              <w:spacing w:after="0" w:line="240" w:lineRule="auto"/>
              <w:jc w:val="both"/>
              <w:rPr>
                <w:rFonts w:cs="Calibri"/>
                <w:lang w:val="fr-FR"/>
              </w:rPr>
            </w:pPr>
            <w:r w:rsidRPr="003B1103">
              <w:rPr>
                <w:rFonts w:cs="Calibri"/>
                <w:lang w:val="fr-FR"/>
              </w:rPr>
              <w:t xml:space="preserve">Art. </w:t>
            </w:r>
            <w:proofErr w:type="gramStart"/>
            <w:r w:rsidRPr="003B1103">
              <w:rPr>
                <w:rFonts w:cs="Calibri"/>
                <w:lang w:val="fr-FR"/>
              </w:rPr>
              <w:t>7:</w:t>
            </w:r>
            <w:proofErr w:type="gramEnd"/>
            <w:r w:rsidRPr="003B1103">
              <w:rPr>
                <w:rFonts w:cs="Calibri"/>
                <w:lang w:val="fr-FR"/>
              </w:rPr>
              <w:t>11. Dès la constitution de la société, le capital doit être libéré intégralement à concurrence du minimum fixe à l'article 7:2.</w:t>
            </w:r>
          </w:p>
          <w:p w14:paraId="11842378" w14:textId="77777777" w:rsidR="0080197D" w:rsidRDefault="0080197D" w:rsidP="002A31B3">
            <w:pPr>
              <w:spacing w:after="0" w:line="240" w:lineRule="auto"/>
              <w:jc w:val="both"/>
              <w:rPr>
                <w:rFonts w:cs="Calibri"/>
                <w:lang w:val="fr-FR"/>
              </w:rPr>
            </w:pPr>
            <w:r>
              <w:rPr>
                <w:rFonts w:cs="Calibri"/>
                <w:lang w:val="fr-FR"/>
              </w:rPr>
              <w:t xml:space="preserve">  </w:t>
            </w:r>
          </w:p>
          <w:p w14:paraId="15515AAF" w14:textId="77777777" w:rsidR="0080197D" w:rsidRDefault="0080197D" w:rsidP="002A31B3">
            <w:pPr>
              <w:spacing w:after="0" w:line="240" w:lineRule="auto"/>
              <w:jc w:val="both"/>
              <w:rPr>
                <w:rFonts w:cs="Calibri"/>
                <w:lang w:val="fr-FR"/>
              </w:rPr>
            </w:pPr>
            <w:r>
              <w:rPr>
                <w:rFonts w:cs="Calibri"/>
                <w:lang w:val="fr-FR"/>
              </w:rPr>
              <w:t xml:space="preserve">En </w:t>
            </w:r>
            <w:proofErr w:type="gramStart"/>
            <w:r>
              <w:rPr>
                <w:rFonts w:cs="Calibri"/>
                <w:lang w:val="fr-FR"/>
              </w:rPr>
              <w:t>outre</w:t>
            </w:r>
            <w:r w:rsidRPr="003B1103">
              <w:rPr>
                <w:rFonts w:cs="Calibri"/>
                <w:lang w:val="fr-FR"/>
              </w:rPr>
              <w:t>:</w:t>
            </w:r>
            <w:proofErr w:type="gramEnd"/>
          </w:p>
          <w:p w14:paraId="6D10A5DE" w14:textId="77777777" w:rsidR="0080197D" w:rsidRPr="003B1103" w:rsidRDefault="0080197D" w:rsidP="002A31B3">
            <w:pPr>
              <w:spacing w:after="0" w:line="240" w:lineRule="auto"/>
              <w:jc w:val="both"/>
              <w:rPr>
                <w:rFonts w:cs="Calibri"/>
                <w:lang w:val="fr-FR"/>
              </w:rPr>
            </w:pPr>
          </w:p>
          <w:p w14:paraId="32B81BA1" w14:textId="77777777" w:rsidR="0080197D" w:rsidRDefault="0080197D" w:rsidP="002A31B3">
            <w:pPr>
              <w:spacing w:after="0" w:line="240" w:lineRule="auto"/>
              <w:jc w:val="both"/>
              <w:rPr>
                <w:rFonts w:cs="Calibri"/>
                <w:lang w:val="fr-FR"/>
              </w:rPr>
            </w:pPr>
            <w:r w:rsidRPr="003B1103">
              <w:rPr>
                <w:rFonts w:cs="Calibri"/>
                <w:lang w:val="fr-FR"/>
              </w:rPr>
              <w:t xml:space="preserve">  1° chaque action correspondant à un apport en numéraire et chaque action correspondant, en tout ou en partie, à un apport en nature doivent être libérées d'un </w:t>
            </w:r>
            <w:proofErr w:type="gramStart"/>
            <w:r w:rsidRPr="003B1103">
              <w:rPr>
                <w:rFonts w:cs="Calibri"/>
                <w:lang w:val="fr-FR"/>
              </w:rPr>
              <w:t>quart;</w:t>
            </w:r>
            <w:proofErr w:type="gramEnd"/>
          </w:p>
          <w:p w14:paraId="5C08AB34" w14:textId="77777777" w:rsidR="0080197D" w:rsidRPr="003B1103" w:rsidRDefault="0080197D" w:rsidP="002A31B3">
            <w:pPr>
              <w:spacing w:after="0" w:line="240" w:lineRule="auto"/>
              <w:jc w:val="both"/>
              <w:rPr>
                <w:rFonts w:cs="Calibri"/>
                <w:lang w:val="fr-FR"/>
              </w:rPr>
            </w:pPr>
          </w:p>
          <w:p w14:paraId="539CE12D" w14:textId="77777777" w:rsidR="0080197D" w:rsidRPr="003B1103" w:rsidRDefault="0080197D" w:rsidP="002A31B3">
            <w:pPr>
              <w:spacing w:after="0" w:line="240" w:lineRule="auto"/>
              <w:jc w:val="both"/>
              <w:rPr>
                <w:rFonts w:cs="Calibri"/>
                <w:lang w:val="fr-FR"/>
              </w:rPr>
            </w:pPr>
            <w:r w:rsidRPr="003B1103">
              <w:rPr>
                <w:rFonts w:cs="Calibri"/>
                <w:lang w:val="fr-FR"/>
              </w:rPr>
              <w:t xml:space="preserve">  2° les actions correspondant en tout ou en partie à des apports en nature doivent être entièrement libérées dans un délai de cinq ans à dater de la constitution de la société.</w:t>
            </w:r>
          </w:p>
          <w:p w14:paraId="44775BC8" w14:textId="77777777" w:rsidR="0080197D" w:rsidRPr="003B1103" w:rsidRDefault="0080197D" w:rsidP="002A31B3">
            <w:pPr>
              <w:spacing w:after="0" w:line="240" w:lineRule="auto"/>
              <w:jc w:val="both"/>
              <w:rPr>
                <w:rFonts w:cs="Calibri"/>
                <w:lang w:val="fr-FR"/>
              </w:rPr>
            </w:pPr>
          </w:p>
        </w:tc>
      </w:tr>
      <w:tr w:rsidR="0080197D" w:rsidRPr="0080197D" w14:paraId="09F2BD07" w14:textId="77777777" w:rsidTr="00B04640">
        <w:trPr>
          <w:trHeight w:val="132"/>
        </w:trPr>
        <w:tc>
          <w:tcPr>
            <w:tcW w:w="1980" w:type="dxa"/>
          </w:tcPr>
          <w:p w14:paraId="186F45F1" w14:textId="77777777" w:rsidR="0080197D" w:rsidRDefault="0080197D" w:rsidP="00B04640">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7FDAF761" w14:textId="77777777" w:rsidR="0080197D" w:rsidRDefault="0080197D" w:rsidP="00B04640">
            <w:pPr>
              <w:spacing w:after="0" w:line="240" w:lineRule="auto"/>
              <w:jc w:val="both"/>
              <w:rPr>
                <w:rFonts w:cs="Calibri"/>
                <w:lang w:val="nl-NL"/>
              </w:rPr>
            </w:pPr>
            <w:r w:rsidRPr="00AE4A22">
              <w:rPr>
                <w:rFonts w:cs="Calibri"/>
                <w:lang w:val="nl-NL"/>
              </w:rPr>
              <w:t>Art. 7:11. Vanaf de oprichting van de vennootschap moet het kapitaal zijn volgestort ten belope van het minimum bepaald in artikel 7:2.</w:t>
            </w:r>
          </w:p>
          <w:p w14:paraId="0E51335C" w14:textId="77777777" w:rsidR="0080197D" w:rsidRPr="00AE4A22" w:rsidRDefault="0080197D" w:rsidP="00B04640">
            <w:pPr>
              <w:spacing w:after="0" w:line="240" w:lineRule="auto"/>
              <w:jc w:val="both"/>
              <w:rPr>
                <w:rFonts w:cs="Calibri"/>
                <w:lang w:val="nl-NL"/>
              </w:rPr>
            </w:pPr>
          </w:p>
          <w:p w14:paraId="5C2C1248" w14:textId="77777777" w:rsidR="0080197D" w:rsidRDefault="0080197D" w:rsidP="00B04640">
            <w:pPr>
              <w:spacing w:after="0" w:line="240" w:lineRule="auto"/>
              <w:jc w:val="both"/>
              <w:rPr>
                <w:rFonts w:cs="Calibri"/>
                <w:lang w:val="nl-NL"/>
              </w:rPr>
            </w:pPr>
            <w:r>
              <w:rPr>
                <w:rFonts w:cs="Calibri"/>
                <w:lang w:val="nl-NL"/>
              </w:rPr>
              <w:t>Bovendien</w:t>
            </w:r>
            <w:r w:rsidRPr="00AE4A22">
              <w:rPr>
                <w:rFonts w:cs="Calibri"/>
                <w:lang w:val="nl-NL"/>
              </w:rPr>
              <w:t>:</w:t>
            </w:r>
          </w:p>
          <w:p w14:paraId="21C64766" w14:textId="77777777" w:rsidR="0080197D" w:rsidRPr="00AE4A22" w:rsidRDefault="0080197D" w:rsidP="00B04640">
            <w:pPr>
              <w:spacing w:after="0" w:line="240" w:lineRule="auto"/>
              <w:jc w:val="both"/>
              <w:rPr>
                <w:rFonts w:cs="Calibri"/>
                <w:lang w:val="nl-NL"/>
              </w:rPr>
            </w:pPr>
          </w:p>
          <w:p w14:paraId="4EADD577" w14:textId="77777777" w:rsidR="0080197D" w:rsidRDefault="0080197D" w:rsidP="00B04640">
            <w:pPr>
              <w:spacing w:after="0" w:line="240" w:lineRule="auto"/>
              <w:jc w:val="both"/>
              <w:rPr>
                <w:rFonts w:cs="Calibri"/>
                <w:lang w:val="nl-NL"/>
              </w:rPr>
            </w:pPr>
            <w:r w:rsidRPr="00AE4A22">
              <w:rPr>
                <w:rFonts w:cs="Calibri"/>
                <w:lang w:val="nl-NL"/>
              </w:rPr>
              <w:t xml:space="preserve">  1° moet op ieder aandeel dat overeenstemt met een inbreng in geld en op ieder aandeel dat geheel of ten dele overeenstemt met een inbreng in natura, een vierde worden gestort;</w:t>
            </w:r>
          </w:p>
          <w:p w14:paraId="7DE32605" w14:textId="77777777" w:rsidR="0080197D" w:rsidRPr="00AE4A22" w:rsidRDefault="0080197D" w:rsidP="00B04640">
            <w:pPr>
              <w:spacing w:after="0" w:line="240" w:lineRule="auto"/>
              <w:jc w:val="both"/>
              <w:rPr>
                <w:rFonts w:cs="Calibri"/>
                <w:lang w:val="nl-NL"/>
              </w:rPr>
            </w:pPr>
          </w:p>
          <w:p w14:paraId="0E368E52" w14:textId="77777777" w:rsidR="0080197D" w:rsidRPr="00D560CE" w:rsidRDefault="0080197D" w:rsidP="00B04640">
            <w:pPr>
              <w:spacing w:after="0" w:line="240" w:lineRule="auto"/>
              <w:jc w:val="both"/>
              <w:rPr>
                <w:rFonts w:cs="Calibri"/>
                <w:lang w:val="nl-NL"/>
              </w:rPr>
            </w:pPr>
            <w:r w:rsidRPr="00AE4A22">
              <w:rPr>
                <w:rFonts w:cs="Calibri"/>
                <w:lang w:val="nl-NL"/>
              </w:rPr>
              <w:t xml:space="preserve">  2° moeten de aandelen die geheel of ten dele inbrengen in natura vertegenwoordigen, volgestort zijn binnen een termijn van vijf jaar na de oprichting van de vennootschap.</w:t>
            </w:r>
          </w:p>
        </w:tc>
        <w:tc>
          <w:tcPr>
            <w:tcW w:w="5953" w:type="dxa"/>
            <w:gridSpan w:val="2"/>
            <w:shd w:val="clear" w:color="auto" w:fill="auto"/>
          </w:tcPr>
          <w:p w14:paraId="5DFEA70B" w14:textId="77777777" w:rsidR="0080197D" w:rsidRPr="00AE4A22" w:rsidRDefault="0080197D" w:rsidP="00B04640">
            <w:pPr>
              <w:spacing w:after="0" w:line="240" w:lineRule="auto"/>
              <w:jc w:val="both"/>
              <w:rPr>
                <w:rFonts w:cs="Calibri"/>
                <w:lang w:val="fr-FR"/>
              </w:rPr>
            </w:pPr>
            <w:r w:rsidRPr="00AE4A22">
              <w:rPr>
                <w:rFonts w:cs="Calibri"/>
                <w:lang w:val="fr-FR"/>
              </w:rPr>
              <w:t xml:space="preserve">Art. </w:t>
            </w:r>
            <w:proofErr w:type="gramStart"/>
            <w:r w:rsidRPr="00AE4A22">
              <w:rPr>
                <w:rFonts w:cs="Calibri"/>
                <w:lang w:val="fr-FR"/>
              </w:rPr>
              <w:t>7:</w:t>
            </w:r>
            <w:proofErr w:type="gramEnd"/>
            <w:r w:rsidRPr="00AE4A22">
              <w:rPr>
                <w:rFonts w:cs="Calibri"/>
                <w:lang w:val="fr-FR"/>
              </w:rPr>
              <w:t>11. Dès la constitution de la société, le capital doit être libéré intégralement à concurrence du minimum fixe à l'article 7:2.</w:t>
            </w:r>
          </w:p>
          <w:p w14:paraId="0D5B473D" w14:textId="77777777" w:rsidR="0080197D" w:rsidRDefault="0080197D" w:rsidP="00B04640">
            <w:pPr>
              <w:spacing w:after="0" w:line="240" w:lineRule="auto"/>
              <w:jc w:val="both"/>
              <w:rPr>
                <w:rFonts w:cs="Calibri"/>
                <w:lang w:val="fr-FR"/>
              </w:rPr>
            </w:pPr>
          </w:p>
          <w:p w14:paraId="01C89467" w14:textId="77777777" w:rsidR="0080197D" w:rsidRDefault="0080197D" w:rsidP="00B04640">
            <w:pPr>
              <w:spacing w:after="0" w:line="240" w:lineRule="auto"/>
              <w:jc w:val="both"/>
              <w:rPr>
                <w:rFonts w:cs="Calibri"/>
                <w:lang w:val="fr-FR"/>
              </w:rPr>
            </w:pPr>
            <w:r>
              <w:rPr>
                <w:rFonts w:cs="Calibri"/>
                <w:lang w:val="fr-FR"/>
              </w:rPr>
              <w:t xml:space="preserve">En </w:t>
            </w:r>
            <w:proofErr w:type="gramStart"/>
            <w:r>
              <w:rPr>
                <w:rFonts w:cs="Calibri"/>
                <w:lang w:val="fr-FR"/>
              </w:rPr>
              <w:t>outre</w:t>
            </w:r>
            <w:r w:rsidRPr="00AE4A22">
              <w:rPr>
                <w:rFonts w:cs="Calibri"/>
                <w:lang w:val="fr-FR"/>
              </w:rPr>
              <w:t>:</w:t>
            </w:r>
            <w:proofErr w:type="gramEnd"/>
          </w:p>
          <w:p w14:paraId="06F1F176" w14:textId="77777777" w:rsidR="0080197D" w:rsidRPr="00AE4A22" w:rsidRDefault="0080197D" w:rsidP="00B04640">
            <w:pPr>
              <w:spacing w:after="0" w:line="240" w:lineRule="auto"/>
              <w:jc w:val="both"/>
              <w:rPr>
                <w:rFonts w:cs="Calibri"/>
                <w:lang w:val="fr-FR"/>
              </w:rPr>
            </w:pPr>
          </w:p>
          <w:p w14:paraId="0AC8FEA2" w14:textId="77777777" w:rsidR="0080197D" w:rsidRDefault="0080197D" w:rsidP="00B04640">
            <w:pPr>
              <w:spacing w:after="0" w:line="240" w:lineRule="auto"/>
              <w:jc w:val="both"/>
              <w:rPr>
                <w:rFonts w:cs="Calibri"/>
                <w:lang w:val="fr-FR"/>
              </w:rPr>
            </w:pPr>
            <w:r w:rsidRPr="00AE4A22">
              <w:rPr>
                <w:rFonts w:cs="Calibri"/>
                <w:lang w:val="fr-FR"/>
              </w:rPr>
              <w:t xml:space="preserve">  1° chaque action correspondant à un apport en numéraire et chaque action correspondant, en tout ou en partie, à un apport en nature doivent être libérées d'un </w:t>
            </w:r>
            <w:proofErr w:type="gramStart"/>
            <w:r w:rsidRPr="00AE4A22">
              <w:rPr>
                <w:rFonts w:cs="Calibri"/>
                <w:lang w:val="fr-FR"/>
              </w:rPr>
              <w:t>quart;</w:t>
            </w:r>
            <w:proofErr w:type="gramEnd"/>
          </w:p>
          <w:p w14:paraId="5BDD5140" w14:textId="77777777" w:rsidR="0080197D" w:rsidRPr="00AE4A22" w:rsidRDefault="0080197D" w:rsidP="00B04640">
            <w:pPr>
              <w:spacing w:after="0" w:line="240" w:lineRule="auto"/>
              <w:jc w:val="both"/>
              <w:rPr>
                <w:rFonts w:cs="Calibri"/>
                <w:lang w:val="fr-FR"/>
              </w:rPr>
            </w:pPr>
          </w:p>
          <w:p w14:paraId="5482EEFA" w14:textId="77777777" w:rsidR="0080197D" w:rsidRPr="00AE4A22" w:rsidRDefault="0080197D" w:rsidP="00B04640">
            <w:pPr>
              <w:spacing w:after="0" w:line="240" w:lineRule="auto"/>
              <w:jc w:val="both"/>
              <w:rPr>
                <w:rFonts w:cs="Calibri"/>
                <w:lang w:val="fr-FR"/>
              </w:rPr>
            </w:pPr>
            <w:r w:rsidRPr="00AE4A22">
              <w:rPr>
                <w:rFonts w:cs="Calibri"/>
                <w:lang w:val="fr-FR"/>
              </w:rPr>
              <w:t xml:space="preserve">  2° les actions correspondant en tout ou en partie à des apports en nature doivent être entièrement libérées dans un délai de cinq ans à dater de la constitution de la société.</w:t>
            </w:r>
          </w:p>
          <w:p w14:paraId="3E16C0E4" w14:textId="77777777" w:rsidR="0080197D" w:rsidRPr="00AE4A22" w:rsidRDefault="0080197D" w:rsidP="00B04640">
            <w:pPr>
              <w:spacing w:after="0" w:line="240" w:lineRule="auto"/>
              <w:jc w:val="both"/>
              <w:rPr>
                <w:rFonts w:cs="Calibri"/>
                <w:lang w:val="fr-FR"/>
              </w:rPr>
            </w:pPr>
          </w:p>
        </w:tc>
      </w:tr>
      <w:tr w:rsidR="0080197D" w:rsidRPr="00B04640" w14:paraId="3B71DBAB" w14:textId="77777777" w:rsidTr="00B04640">
        <w:trPr>
          <w:trHeight w:val="483"/>
        </w:trPr>
        <w:tc>
          <w:tcPr>
            <w:tcW w:w="1980" w:type="dxa"/>
          </w:tcPr>
          <w:p w14:paraId="404A72FC" w14:textId="77777777" w:rsidR="0080197D" w:rsidRDefault="0080197D" w:rsidP="00B04640">
            <w:pPr>
              <w:spacing w:after="0" w:line="240" w:lineRule="auto"/>
              <w:jc w:val="both"/>
              <w:rPr>
                <w:rFonts w:cs="Calibri"/>
                <w:lang w:val="fr-FR"/>
              </w:rPr>
            </w:pPr>
            <w:bookmarkStart w:id="0" w:name="_GoBack"/>
            <w:bookmarkEnd w:id="0"/>
            <w:proofErr w:type="spellStart"/>
            <w:r>
              <w:rPr>
                <w:rFonts w:cs="Calibri"/>
                <w:lang w:val="fr-FR"/>
              </w:rPr>
              <w:t>MvT</w:t>
            </w:r>
            <w:proofErr w:type="spellEnd"/>
          </w:p>
        </w:tc>
        <w:tc>
          <w:tcPr>
            <w:tcW w:w="5812" w:type="dxa"/>
            <w:shd w:val="clear" w:color="auto" w:fill="auto"/>
          </w:tcPr>
          <w:p w14:paraId="032A054B" w14:textId="77777777" w:rsidR="0080197D" w:rsidRPr="00BE221B" w:rsidRDefault="0080197D" w:rsidP="00B04640">
            <w:pPr>
              <w:spacing w:after="0" w:line="240" w:lineRule="auto"/>
              <w:jc w:val="both"/>
              <w:rPr>
                <w:lang w:val="nl-BE"/>
              </w:rPr>
            </w:pPr>
            <w:r w:rsidRPr="00D560CE">
              <w:rPr>
                <w:bCs/>
                <w:iCs/>
                <w:lang w:val="nl-BE"/>
              </w:rPr>
              <w:t>Deze bepaling herneemt artikel 448 W.Venn.</w:t>
            </w:r>
          </w:p>
        </w:tc>
        <w:tc>
          <w:tcPr>
            <w:tcW w:w="5953" w:type="dxa"/>
            <w:gridSpan w:val="2"/>
            <w:shd w:val="clear" w:color="auto" w:fill="auto"/>
          </w:tcPr>
          <w:p w14:paraId="7E19B641" w14:textId="77777777" w:rsidR="0080197D" w:rsidRPr="006016F8" w:rsidRDefault="0080197D" w:rsidP="00B04640">
            <w:pPr>
              <w:spacing w:after="0" w:line="240" w:lineRule="auto"/>
              <w:jc w:val="both"/>
              <w:rPr>
                <w:lang w:val="fr-FR"/>
              </w:rPr>
            </w:pPr>
            <w:r w:rsidRPr="00D560CE">
              <w:rPr>
                <w:lang w:val="fr-BE"/>
              </w:rPr>
              <w:t>Cette disposition reprend l’article 448 C. Soc.</w:t>
            </w:r>
          </w:p>
        </w:tc>
      </w:tr>
      <w:tr w:rsidR="0080197D" w:rsidRPr="00B04640" w14:paraId="290A7328" w14:textId="77777777" w:rsidTr="00B04640">
        <w:trPr>
          <w:trHeight w:val="1086"/>
        </w:trPr>
        <w:tc>
          <w:tcPr>
            <w:tcW w:w="1980" w:type="dxa"/>
          </w:tcPr>
          <w:p w14:paraId="1A0509DD" w14:textId="77777777" w:rsidR="0080197D" w:rsidRDefault="0080197D" w:rsidP="00B04640">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4E58157D" w14:textId="77777777" w:rsidR="0080197D" w:rsidRPr="000E5F68" w:rsidRDefault="0080197D" w:rsidP="00B04640">
            <w:pPr>
              <w:spacing w:after="0" w:line="240" w:lineRule="auto"/>
              <w:jc w:val="both"/>
              <w:rPr>
                <w:lang w:val="nl-BE"/>
              </w:rPr>
            </w:pPr>
            <w:r w:rsidRPr="000E5F68">
              <w:rPr>
                <w:lang w:val="nl-BE"/>
              </w:rPr>
              <w:t>Vanaf de oprichting moet het kapitaal zijn volgestort ten belope van het wettelijk bepaalde minimum, en op ieder aandeel dat overeenstemt met een inbreng in geld moet een vierde worden gestort.</w:t>
            </w:r>
          </w:p>
          <w:p w14:paraId="243D2AB6" w14:textId="77777777" w:rsidR="0080197D" w:rsidRPr="000E5F68" w:rsidRDefault="0080197D" w:rsidP="00B04640">
            <w:pPr>
              <w:spacing w:after="0" w:line="240" w:lineRule="auto"/>
              <w:jc w:val="both"/>
              <w:rPr>
                <w:lang w:val="nl-BE"/>
              </w:rPr>
            </w:pPr>
            <w:r w:rsidRPr="000E5F68">
              <w:rPr>
                <w:lang w:val="nl-BE"/>
              </w:rPr>
              <w:t>De inhoud van artikel 449 van het Wetboek van vennootschappen</w:t>
            </w:r>
            <w:r w:rsidRPr="000E5F68">
              <w:rPr>
                <w:rStyle w:val="Voetnootmarkering"/>
              </w:rPr>
              <w:footnoteReference w:id="1"/>
            </w:r>
            <w:r w:rsidRPr="000E5F68">
              <w:rPr>
                <w:lang w:val="nl-BE"/>
              </w:rPr>
              <w:t xml:space="preserve"> wordt niet overgenomen omdat het </w:t>
            </w:r>
            <w:r w:rsidRPr="000E5F68">
              <w:rPr>
                <w:lang w:val="nl-BE"/>
              </w:rPr>
              <w:lastRenderedPageBreak/>
              <w:t>bankattest volgens de memorie van toelichting in de praktijk geen meerwaarde betekent.</w:t>
            </w:r>
          </w:p>
          <w:p w14:paraId="599C5AD6" w14:textId="77777777" w:rsidR="0080197D" w:rsidRPr="000E5F68" w:rsidRDefault="0080197D" w:rsidP="00B04640">
            <w:pPr>
              <w:spacing w:after="0" w:line="240" w:lineRule="auto"/>
              <w:jc w:val="both"/>
              <w:rPr>
                <w:lang w:val="nl-BE"/>
              </w:rPr>
            </w:pPr>
          </w:p>
          <w:p w14:paraId="5E55B1F6" w14:textId="77777777" w:rsidR="0080197D" w:rsidRDefault="0080197D" w:rsidP="00B04640">
            <w:pPr>
              <w:spacing w:after="0" w:line="240" w:lineRule="auto"/>
              <w:jc w:val="both"/>
              <w:rPr>
                <w:lang w:val="nl-BE"/>
              </w:rPr>
            </w:pPr>
            <w:r w:rsidRPr="000E5F68">
              <w:rPr>
                <w:lang w:val="nl-BE"/>
              </w:rPr>
              <w:t>Wat betreft de inbreng in geld, bood de verplichting om het geld te blokkeren op een rekening op naam van de vennootschap en om over een attest van de bank te beschikken, rechtszekerheid aan de betrokken partijen (inbrenger, vennootschap, notaris en financiële instelling). Het is dus wenselijk dat die verplichting gehandhaafd blijft.</w:t>
            </w:r>
          </w:p>
          <w:p w14:paraId="18990BA0" w14:textId="77777777" w:rsidR="0080197D" w:rsidRPr="000E5F68" w:rsidRDefault="0080197D" w:rsidP="00B04640">
            <w:pPr>
              <w:spacing w:after="0" w:line="240" w:lineRule="auto"/>
              <w:jc w:val="both"/>
              <w:rPr>
                <w:lang w:val="nl-BE"/>
              </w:rPr>
            </w:pPr>
          </w:p>
          <w:p w14:paraId="425FCA1F" w14:textId="77777777" w:rsidR="0080197D" w:rsidRPr="000E5F68" w:rsidRDefault="0080197D" w:rsidP="00B04640">
            <w:pPr>
              <w:spacing w:after="0" w:line="240" w:lineRule="auto"/>
              <w:jc w:val="both"/>
              <w:rPr>
                <w:lang w:val="nl-BE"/>
              </w:rPr>
            </w:pPr>
            <w:r w:rsidRPr="000E5F68">
              <w:rPr>
                <w:lang w:val="nl-BE"/>
              </w:rPr>
              <w:t>Bovendien doet de afschaffing van die verplichting vragen rijzen. Aangezien de minimumvolstortingsplicht niet wordt afgeschaft, moet de notaris bijvoorbeeld altijd nagaan of de bank inderdaad een overschrijving heeft ontvangen. Hij zal dat moeilijker kunnen nagaan indien de overschrijving op de rekening van de vennootschap niet meer wettelijk verplicht is. Dat bemoeilijkt bovendien de controle op de oorsprong van het geld in het kader van de strijd tegen het witwassen. Kortom, indien de minimumvolstortingsplicht gehandhaafd wordt, blijft het bankattest een praktisch middel om de controles uit te voeren, en de meerwaarde van de afschaffing ervan is niet duidelijk. Dezelfde overweging geldt voor de inbrengen in geld in geval van kapitaalverhogingen.</w:t>
            </w:r>
          </w:p>
        </w:tc>
        <w:tc>
          <w:tcPr>
            <w:tcW w:w="5953" w:type="dxa"/>
            <w:gridSpan w:val="2"/>
            <w:shd w:val="clear" w:color="auto" w:fill="auto"/>
          </w:tcPr>
          <w:p w14:paraId="6FD9EEA9" w14:textId="77777777" w:rsidR="0080197D" w:rsidRPr="000E5F68" w:rsidRDefault="0080197D" w:rsidP="00B04640">
            <w:pPr>
              <w:spacing w:after="0" w:line="240" w:lineRule="auto"/>
              <w:jc w:val="both"/>
              <w:rPr>
                <w:lang w:val="fr-FR"/>
              </w:rPr>
            </w:pPr>
            <w:r w:rsidRPr="000E5F68">
              <w:rPr>
                <w:lang w:val="fr-FR"/>
              </w:rPr>
              <w:lastRenderedPageBreak/>
              <w:t>Dès la constitution, le capital doit être libéré intégralement à concurrence du minimum légal et chaque action correspondant à un apport en numéraire doit être libérée d’un quart.</w:t>
            </w:r>
          </w:p>
          <w:p w14:paraId="16A5BCB6" w14:textId="77777777" w:rsidR="0080197D" w:rsidRPr="000E5F68" w:rsidRDefault="0080197D" w:rsidP="00B04640">
            <w:pPr>
              <w:spacing w:after="0" w:line="240" w:lineRule="auto"/>
              <w:jc w:val="both"/>
              <w:rPr>
                <w:lang w:val="fr-FR"/>
              </w:rPr>
            </w:pPr>
          </w:p>
          <w:p w14:paraId="6F455A92" w14:textId="77777777" w:rsidR="0080197D" w:rsidRPr="000E5F68" w:rsidRDefault="0080197D" w:rsidP="00B04640">
            <w:pPr>
              <w:spacing w:after="0" w:line="240" w:lineRule="auto"/>
              <w:jc w:val="both"/>
              <w:rPr>
                <w:lang w:val="fr-FR"/>
              </w:rPr>
            </w:pPr>
            <w:r w:rsidRPr="000E5F68">
              <w:rPr>
                <w:lang w:val="fr-FR"/>
              </w:rPr>
              <w:t>Le contenu de l’article 449 du Code des sociétés </w:t>
            </w:r>
            <w:r w:rsidRPr="000E5F68">
              <w:rPr>
                <w:vertAlign w:val="superscript"/>
              </w:rPr>
              <w:footnoteReference w:id="2"/>
            </w:r>
            <w:r w:rsidRPr="000E5F68">
              <w:rPr>
                <w:lang w:val="fr-FR"/>
              </w:rPr>
              <w:t xml:space="preserve"> n’a pas été repris en raison du fait, selon l’exposé des motifs, que </w:t>
            </w:r>
            <w:proofErr w:type="gramStart"/>
            <w:r w:rsidRPr="000E5F68">
              <w:rPr>
                <w:lang w:val="fr-FR"/>
              </w:rPr>
              <w:lastRenderedPageBreak/>
              <w:t>l’attestation</w:t>
            </w:r>
            <w:proofErr w:type="gramEnd"/>
            <w:r w:rsidRPr="000E5F68">
              <w:rPr>
                <w:lang w:val="fr-FR"/>
              </w:rPr>
              <w:t xml:space="preserve"> bancaire ne constitue pas une plus-value en pratique.</w:t>
            </w:r>
          </w:p>
          <w:p w14:paraId="52B085AE" w14:textId="77777777" w:rsidR="0080197D" w:rsidRPr="000E5F68" w:rsidRDefault="0080197D" w:rsidP="00B04640">
            <w:pPr>
              <w:spacing w:after="0" w:line="240" w:lineRule="auto"/>
              <w:jc w:val="both"/>
              <w:rPr>
                <w:lang w:val="fr-FR"/>
              </w:rPr>
            </w:pPr>
          </w:p>
          <w:p w14:paraId="59053AC0" w14:textId="77777777" w:rsidR="0080197D" w:rsidRPr="000E5F68" w:rsidRDefault="0080197D" w:rsidP="00B04640">
            <w:pPr>
              <w:spacing w:after="0" w:line="240" w:lineRule="auto"/>
              <w:jc w:val="both"/>
              <w:rPr>
                <w:lang w:val="fr-FR"/>
              </w:rPr>
            </w:pPr>
            <w:r w:rsidRPr="000E5F68">
              <w:rPr>
                <w:lang w:val="fr-FR"/>
              </w:rPr>
              <w:t>En ce qui concerne les apports en espèces, l’obligation de bloquer les fonds sur un compte au nom de la société et d’avoir une attestation bancaire offrait une sécurité juridique pour les parties concernées (apporteur, société, notaire et institution financière). Son maintien semble donc en soi souhaitable.</w:t>
            </w:r>
          </w:p>
          <w:p w14:paraId="38ABD016" w14:textId="77777777" w:rsidR="0080197D" w:rsidRPr="000E5F68" w:rsidRDefault="0080197D" w:rsidP="00B04640">
            <w:pPr>
              <w:spacing w:after="0" w:line="240" w:lineRule="auto"/>
              <w:jc w:val="both"/>
              <w:rPr>
                <w:lang w:val="fr-FR"/>
              </w:rPr>
            </w:pPr>
          </w:p>
          <w:p w14:paraId="325AAAE5" w14:textId="77777777" w:rsidR="0080197D" w:rsidRPr="000E5F68" w:rsidRDefault="0080197D" w:rsidP="00B04640">
            <w:pPr>
              <w:spacing w:after="0" w:line="240" w:lineRule="auto"/>
              <w:jc w:val="both"/>
              <w:rPr>
                <w:lang w:val="fr-FR"/>
              </w:rPr>
            </w:pPr>
            <w:r w:rsidRPr="000E5F68">
              <w:rPr>
                <w:lang w:val="fr-FR"/>
              </w:rPr>
              <w:t>En outre, sa suppression pose des questions. Ainsi, l’obligation de libération minimale n’étant pas abolie, le notaire devra toujours vérifier que la banque a bien reçu un virement. Si le virement sur le compte de la société n’est plus légalement imposé, il sera difficile au notaire de procéder à cette vérification. Cela complique en outre le contrôle relatif à l’origine des fonds dans le cadre de la lutte contre le blanchiment. En définitive, si l’obligation de libération est maintenue, l’attestation bancaire demeure un outil pratique pour procéder aux vérifications et la plus-value de sa suppression n’est pas claire. La même considération vaut pour les apports en espèces en cas d’augmentations de capital.</w:t>
            </w:r>
          </w:p>
          <w:p w14:paraId="5B5AD0EE" w14:textId="77777777" w:rsidR="0080197D" w:rsidRPr="000E5F68" w:rsidRDefault="0080197D" w:rsidP="00B04640">
            <w:pPr>
              <w:spacing w:after="0" w:line="240" w:lineRule="auto"/>
              <w:jc w:val="both"/>
              <w:rPr>
                <w:lang w:val="fr-FR"/>
              </w:rPr>
            </w:pPr>
          </w:p>
          <w:p w14:paraId="460E2E13" w14:textId="77777777" w:rsidR="0080197D" w:rsidRPr="000E5F68" w:rsidRDefault="0080197D" w:rsidP="00B04640">
            <w:pPr>
              <w:spacing w:after="0" w:line="240" w:lineRule="auto"/>
              <w:jc w:val="both"/>
              <w:rPr>
                <w:lang w:val="fr-FR"/>
              </w:rPr>
            </w:pPr>
          </w:p>
        </w:tc>
      </w:tr>
    </w:tbl>
    <w:p w14:paraId="10F0A0B9" w14:textId="77777777" w:rsidR="000D42B6" w:rsidRPr="003B1103" w:rsidRDefault="000D42B6">
      <w:pPr>
        <w:rPr>
          <w:lang w:val="fr-FR"/>
        </w:rPr>
      </w:pPr>
    </w:p>
    <w:sectPr w:rsidR="000D42B6" w:rsidRPr="003B110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17CDC" w14:textId="77777777" w:rsidR="005E171A" w:rsidRDefault="005E171A" w:rsidP="000D42B6">
      <w:pPr>
        <w:spacing w:after="0" w:line="240" w:lineRule="auto"/>
      </w:pPr>
      <w:r>
        <w:separator/>
      </w:r>
    </w:p>
  </w:endnote>
  <w:endnote w:type="continuationSeparator" w:id="0">
    <w:p w14:paraId="1DE5C9AF" w14:textId="77777777" w:rsidR="005E171A" w:rsidRDefault="005E171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0A0AF" w14:textId="77777777" w:rsidR="005E171A" w:rsidRDefault="005E171A" w:rsidP="000D42B6">
      <w:pPr>
        <w:spacing w:after="0" w:line="240" w:lineRule="auto"/>
      </w:pPr>
      <w:r>
        <w:separator/>
      </w:r>
    </w:p>
  </w:footnote>
  <w:footnote w:type="continuationSeparator" w:id="0">
    <w:p w14:paraId="0203BF03" w14:textId="77777777" w:rsidR="005E171A" w:rsidRDefault="005E171A" w:rsidP="000D42B6">
      <w:pPr>
        <w:spacing w:after="0" w:line="240" w:lineRule="auto"/>
      </w:pPr>
      <w:r>
        <w:continuationSeparator/>
      </w:r>
    </w:p>
  </w:footnote>
  <w:footnote w:id="1">
    <w:p w14:paraId="2B4A64B4" w14:textId="77777777" w:rsidR="0080197D" w:rsidRPr="002F4B4E" w:rsidRDefault="0080197D" w:rsidP="00B04640">
      <w:pPr>
        <w:pStyle w:val="Geenafstand"/>
        <w:rPr>
          <w:lang w:val="nl-BE"/>
        </w:rPr>
      </w:pPr>
      <w:r>
        <w:rPr>
          <w:lang w:val="nl-BE"/>
        </w:rPr>
        <w:t xml:space="preserve">1 </w:t>
      </w:r>
      <w:r w:rsidRPr="002F4B4E">
        <w:rPr>
          <w:lang w:val="nl-BE"/>
        </w:rPr>
        <w:t>“In geval van inbreng in geld, te storten bij het verlijden van de akte, wordt dat geld vóór de oprichting van de vennootschap bij storting of overschrijving gedeponeerd op een bijzondere rekening, ten name van de vennootschap in oprichting geopend bij De Post (Postcheque) of bij een in België gevestigde kredietinstelling die geen gemeentespaarkas is en waarop de wet van 25 april 2014 op het statuut van en het toezicht op de kredietinstellingen van toepassing is. Een bewijs van die deponering wordt overhandigd aan de instrumenterende notaris.</w:t>
      </w:r>
    </w:p>
    <w:p w14:paraId="60061013" w14:textId="77777777" w:rsidR="0080197D" w:rsidRPr="002F4B4E" w:rsidRDefault="0080197D" w:rsidP="00B04640">
      <w:pPr>
        <w:pStyle w:val="Geenafstand"/>
        <w:rPr>
          <w:lang w:val="nl-BE"/>
        </w:rPr>
      </w:pPr>
      <w:r w:rsidRPr="002F4B4E">
        <w:rPr>
          <w:lang w:val="nl-BE"/>
        </w:rPr>
        <w:t>De bijzondere rekening wordt uitsluitend ter beschikking gehouden van de op te richten vennootschap. Over die rekening kan alleen worden beschikt door personen die bevoegd zijn om de vennootschap te verbinden, en eerst nadat de optredende notaris aan de instelling bericht heeft gegeven van het verlijden van de akte.</w:t>
      </w:r>
    </w:p>
    <w:p w14:paraId="63A39C11" w14:textId="77777777" w:rsidR="0080197D" w:rsidRPr="002F4B4E" w:rsidRDefault="0080197D" w:rsidP="00B04640">
      <w:pPr>
        <w:pStyle w:val="Geenafstand"/>
        <w:rPr>
          <w:lang w:val="nl-BE"/>
        </w:rPr>
      </w:pPr>
      <w:r w:rsidRPr="002F4B4E">
        <w:rPr>
          <w:lang w:val="nl-BE"/>
        </w:rPr>
        <w:t>Indien de vennootschap niet binnen drie maanden na de opening van de bijzondere rekening is opgericht, wordt het geld teruggegeven aan de deposanten die erom verzoeken.”</w:t>
      </w:r>
    </w:p>
  </w:footnote>
  <w:footnote w:id="2">
    <w:p w14:paraId="16A718FC" w14:textId="77777777" w:rsidR="0080197D" w:rsidRPr="00B90B22" w:rsidRDefault="0080197D" w:rsidP="00B04640">
      <w:pPr>
        <w:pStyle w:val="Geenafstand"/>
        <w:rPr>
          <w:lang w:val="fr-FR"/>
        </w:rPr>
      </w:pPr>
      <w:r w:rsidRPr="00B04640">
        <w:rPr>
          <w:lang w:val="fr-FR"/>
        </w:rPr>
        <w:t xml:space="preserve">2 </w:t>
      </w:r>
      <w:r w:rsidRPr="001F168D">
        <w:rPr>
          <w:lang w:val="fr-FR"/>
        </w:rPr>
        <w:t xml:space="preserve">« En cas d’apports en numéraire à libérer lors de la passation de l’acte, les fonds sont, préalablement à la constitution de la société, déposés par versement ou virement à un compte spécial ouvert au nom de la société en formation auprès de La Poste (Postchèque) ou d’un établissement de crédit établi en Belgique, autre qu’une caisse d’épargne communale, régi par la loi du 25 avril 2014 relative au statut et au contrôle des établissements de crédit. </w:t>
      </w:r>
      <w:r w:rsidRPr="00B90B22">
        <w:rPr>
          <w:lang w:val="fr-FR"/>
        </w:rPr>
        <w:t>Une attestation justifiant ce dépôt est remise au notaire instrumentant.</w:t>
      </w:r>
    </w:p>
    <w:p w14:paraId="2376491A" w14:textId="77777777" w:rsidR="0080197D" w:rsidRPr="00B90B22" w:rsidRDefault="0080197D" w:rsidP="00B04640">
      <w:pPr>
        <w:pStyle w:val="Geenafstand"/>
        <w:rPr>
          <w:lang w:val="fr-FR"/>
        </w:rPr>
      </w:pPr>
      <w:r w:rsidRPr="00B90B22">
        <w:rPr>
          <w:lang w:val="fr-FR"/>
        </w:rPr>
        <w:t>Le compte spécial doit être à la disposition exclusive de la société à constituer. Il ne peut en être disposé que par les personnes habilitées à engager la société et après que le notaire instrumentant eût informé l’organisme de la passation de l’acte.</w:t>
      </w:r>
    </w:p>
    <w:p w14:paraId="0BDF1DDA" w14:textId="77777777" w:rsidR="0080197D" w:rsidRPr="00B04640" w:rsidRDefault="0080197D" w:rsidP="00B04640">
      <w:pPr>
        <w:pStyle w:val="Geenafstand"/>
        <w:rPr>
          <w:lang w:val="fr-FR"/>
        </w:rPr>
      </w:pPr>
      <w:r w:rsidRPr="00B90B22">
        <w:rPr>
          <w:lang w:val="fr-FR"/>
        </w:rPr>
        <w:t>Si la société n’est pas constituée dans les trois mois de l’ouverture du compte spécial, les fonds sont restitués à leur demande à ceux qui les ont déposés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D42B6"/>
    <w:rsid w:val="000E5F68"/>
    <w:rsid w:val="000F6EBF"/>
    <w:rsid w:val="001777AA"/>
    <w:rsid w:val="00200CB2"/>
    <w:rsid w:val="003050EA"/>
    <w:rsid w:val="00393BDA"/>
    <w:rsid w:val="003B1103"/>
    <w:rsid w:val="003D55CF"/>
    <w:rsid w:val="00417C7D"/>
    <w:rsid w:val="00427696"/>
    <w:rsid w:val="004A303D"/>
    <w:rsid w:val="00512C24"/>
    <w:rsid w:val="00552278"/>
    <w:rsid w:val="005B33B1"/>
    <w:rsid w:val="005B3DDA"/>
    <w:rsid w:val="005E171A"/>
    <w:rsid w:val="005E53AE"/>
    <w:rsid w:val="00602363"/>
    <w:rsid w:val="007A6A5E"/>
    <w:rsid w:val="007E000B"/>
    <w:rsid w:val="0080197D"/>
    <w:rsid w:val="008A299A"/>
    <w:rsid w:val="009202F4"/>
    <w:rsid w:val="00A46D88"/>
    <w:rsid w:val="00AE4A22"/>
    <w:rsid w:val="00B04640"/>
    <w:rsid w:val="00B0539A"/>
    <w:rsid w:val="00BB0F3C"/>
    <w:rsid w:val="00C97319"/>
    <w:rsid w:val="00CB4E93"/>
    <w:rsid w:val="00CF7A49"/>
    <w:rsid w:val="00DC54F2"/>
    <w:rsid w:val="00E17723"/>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FDE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AE4A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customStyle="1" w:styleId="Afdeling">
    <w:name w:val="Afdeling"/>
    <w:basedOn w:val="Kop1"/>
    <w:rsid w:val="00AE4A22"/>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AE4A22"/>
    <w:rPr>
      <w:rFonts w:asciiTheme="majorHAnsi" w:eastAsiaTheme="majorEastAsia" w:hAnsiTheme="majorHAnsi" w:cstheme="majorBidi"/>
      <w:color w:val="2E74B5" w:themeColor="accent1" w:themeShade="BF"/>
      <w:sz w:val="32"/>
      <w:szCs w:val="32"/>
      <w:lang w:val="en-GB"/>
    </w:rPr>
  </w:style>
  <w:style w:type="character" w:styleId="Voetnootmarkering">
    <w:name w:val="footnote reference"/>
    <w:aliases w:val="4_G,Appel note de bas de page,callout,Footnote Refernece,Footnotes refss,Footnote Reference Superscript,BVI fnr,Footnote Reference Number,Footnote R,Footnote Refere,Footnote Reference_LVL6"/>
    <w:basedOn w:val="Standaardalinea-lettertype"/>
    <w:uiPriority w:val="99"/>
    <w:unhideWhenUsed/>
    <w:qFormat/>
    <w:rsid w:val="000E5F68"/>
    <w:rPr>
      <w:vertAlign w:val="superscript"/>
    </w:rPr>
  </w:style>
  <w:style w:type="paragraph" w:styleId="Geenafstand">
    <w:name w:val="No Spacing"/>
    <w:uiPriority w:val="1"/>
    <w:qFormat/>
    <w:rsid w:val="000E5F68"/>
    <w:pPr>
      <w:spacing w:after="0" w:line="240" w:lineRule="auto"/>
      <w:jc w:val="both"/>
    </w:pPr>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D70D-CFC8-CF43-B087-F5DFCA38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5105</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20</cp:revision>
  <dcterms:created xsi:type="dcterms:W3CDTF">2019-10-18T10:25:00Z</dcterms:created>
  <dcterms:modified xsi:type="dcterms:W3CDTF">2021-10-19T07:35:00Z</dcterms:modified>
</cp:coreProperties>
</file>