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FC395D" w14:paraId="7A5EF080" w14:textId="77777777" w:rsidTr="00D547AD">
        <w:tc>
          <w:tcPr>
            <w:tcW w:w="2122" w:type="dxa"/>
          </w:tcPr>
          <w:p w14:paraId="19CEDBBE" w14:textId="77777777" w:rsidR="003C1279" w:rsidRPr="00B07AC9" w:rsidRDefault="000D42B6" w:rsidP="00CC5255">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307F40">
              <w:rPr>
                <w:b/>
                <w:sz w:val="32"/>
                <w:szCs w:val="32"/>
                <w:lang w:val="nl-BE"/>
              </w:rPr>
              <w:t>6</w:t>
            </w:r>
          </w:p>
        </w:tc>
        <w:tc>
          <w:tcPr>
            <w:tcW w:w="11623" w:type="dxa"/>
            <w:gridSpan w:val="2"/>
            <w:shd w:val="clear" w:color="auto" w:fill="auto"/>
          </w:tcPr>
          <w:p w14:paraId="2FD0DA99" w14:textId="77777777" w:rsidR="000D42B6" w:rsidRPr="00382324" w:rsidRDefault="000D42B6" w:rsidP="00CC5255">
            <w:pPr>
              <w:rPr>
                <w:rFonts w:asciiTheme="majorHAnsi" w:eastAsiaTheme="majorEastAsia" w:hAnsiTheme="majorHAnsi" w:cstheme="majorBidi"/>
                <w:b/>
                <w:bCs/>
                <w:color w:val="2E74B5" w:themeColor="accent1" w:themeShade="BF"/>
                <w:sz w:val="32"/>
                <w:szCs w:val="28"/>
                <w:lang w:val="nl-BE"/>
              </w:rPr>
            </w:pPr>
          </w:p>
        </w:tc>
      </w:tr>
      <w:tr w:rsidR="005B33B1" w:rsidRPr="00FC395D" w14:paraId="08721274" w14:textId="77777777" w:rsidTr="00D547AD">
        <w:tc>
          <w:tcPr>
            <w:tcW w:w="2122" w:type="dxa"/>
          </w:tcPr>
          <w:p w14:paraId="273D654C" w14:textId="77777777" w:rsidR="005B33B1" w:rsidRPr="00B07AC9" w:rsidRDefault="005B33B1" w:rsidP="00CC5255">
            <w:pPr>
              <w:rPr>
                <w:b/>
                <w:sz w:val="32"/>
                <w:szCs w:val="32"/>
                <w:lang w:val="nl-BE"/>
              </w:rPr>
            </w:pPr>
          </w:p>
        </w:tc>
        <w:tc>
          <w:tcPr>
            <w:tcW w:w="11623" w:type="dxa"/>
            <w:gridSpan w:val="2"/>
            <w:shd w:val="clear" w:color="auto" w:fill="auto"/>
          </w:tcPr>
          <w:p w14:paraId="7963E5C1" w14:textId="77777777" w:rsidR="005B33B1" w:rsidRPr="00382324" w:rsidRDefault="005B33B1" w:rsidP="00CC5255">
            <w:pPr>
              <w:rPr>
                <w:rFonts w:asciiTheme="majorHAnsi" w:eastAsiaTheme="majorEastAsia" w:hAnsiTheme="majorHAnsi" w:cstheme="majorBidi"/>
                <w:b/>
                <w:bCs/>
                <w:color w:val="2E74B5" w:themeColor="accent1" w:themeShade="BF"/>
                <w:sz w:val="32"/>
                <w:szCs w:val="28"/>
                <w:lang w:val="nl-BE"/>
              </w:rPr>
            </w:pPr>
          </w:p>
        </w:tc>
      </w:tr>
      <w:tr w:rsidR="00307F40" w:rsidRPr="00CC5255" w14:paraId="05EC5E4D" w14:textId="77777777" w:rsidTr="00CF2BAD">
        <w:trPr>
          <w:trHeight w:val="377"/>
        </w:trPr>
        <w:tc>
          <w:tcPr>
            <w:tcW w:w="2122" w:type="dxa"/>
          </w:tcPr>
          <w:p w14:paraId="1B3AB101" w14:textId="77777777" w:rsidR="00307F40" w:rsidRDefault="00307F40" w:rsidP="00CC5255">
            <w:pPr>
              <w:spacing w:after="0" w:line="240" w:lineRule="auto"/>
              <w:jc w:val="both"/>
              <w:rPr>
                <w:rFonts w:cs="Calibri"/>
                <w:lang w:val="nl-BE"/>
              </w:rPr>
            </w:pPr>
            <w:r>
              <w:rPr>
                <w:rFonts w:cs="Calibri"/>
                <w:lang w:val="nl-BE"/>
              </w:rPr>
              <w:t>WVV</w:t>
            </w:r>
          </w:p>
        </w:tc>
        <w:tc>
          <w:tcPr>
            <w:tcW w:w="5670" w:type="dxa"/>
            <w:shd w:val="clear" w:color="auto" w:fill="auto"/>
          </w:tcPr>
          <w:p w14:paraId="35A52411" w14:textId="61E93B8A" w:rsidR="00307F40" w:rsidRPr="00C70DB4" w:rsidRDefault="00C70DB4" w:rsidP="00C70DB4">
            <w:pPr>
              <w:jc w:val="both"/>
              <w:rPr>
                <w:lang w:val="nl-NL"/>
              </w:rPr>
            </w:pPr>
            <w:r w:rsidRPr="00272D8A">
              <w:rPr>
                <w:rFonts w:cs="Calibri"/>
                <w:lang w:val="nl-BE"/>
              </w:rPr>
              <w:t xml:space="preserve">Niettegenstaande andersluidende bepaling, zijn de leden van de raad van bestuur of de raad van toezicht </w:t>
            </w:r>
            <w:r w:rsidR="002B7EF1">
              <w:rPr>
                <w:rFonts w:cs="Calibri"/>
                <w:lang w:val="nl-BE"/>
              </w:rPr>
              <w:fldChar w:fldCharType="begin"/>
            </w:r>
            <w:r w:rsidR="002B7EF1">
              <w:rPr>
                <w:rFonts w:cs="Calibri"/>
                <w:lang w:val="nl-BE"/>
              </w:rPr>
              <w:instrText xml:space="preserve"> HYPERLINK  \l "_Amendement_30" </w:instrText>
            </w:r>
            <w:r w:rsidR="002B7EF1">
              <w:rPr>
                <w:rFonts w:cs="Calibri"/>
                <w:lang w:val="nl-BE"/>
              </w:rPr>
            </w:r>
            <w:r w:rsidR="002B7EF1">
              <w:rPr>
                <w:rFonts w:cs="Calibri"/>
                <w:lang w:val="nl-BE"/>
              </w:rPr>
              <w:fldChar w:fldCharType="separate"/>
            </w:r>
            <w:ins w:id="0" w:author="Microsoft Office-gebruiker" w:date="2021-11-29T12:48:00Z">
              <w:r w:rsidRPr="002B7EF1">
                <w:rPr>
                  <w:rStyle w:val="Hyperlink"/>
                  <w:rFonts w:cs="Calibri"/>
                  <w:lang w:val="nl-BE"/>
                </w:rPr>
                <w:t>hoofdelijk aansprakelijk en is de enige bestuurder aansprakelijk</w:t>
              </w:r>
            </w:ins>
            <w:r w:rsidR="002B7EF1">
              <w:rPr>
                <w:rFonts w:cs="Calibri"/>
                <w:lang w:val="nl-BE"/>
              </w:rPr>
              <w:fldChar w:fldCharType="end"/>
            </w:r>
            <w:ins w:id="1" w:author="Microsoft Office-gebruiker" w:date="2021-11-29T12:48:00Z">
              <w:r>
                <w:rPr>
                  <w:rFonts w:cs="Calibri"/>
                  <w:lang w:val="nl-BE"/>
                </w:rPr>
                <w:t xml:space="preserve"> </w:t>
              </w:r>
            </w:ins>
            <w:r>
              <w:rPr>
                <w:rFonts w:cs="Calibri"/>
                <w:lang w:val="nl-BE"/>
              </w:rPr>
              <w:t>jegens de belanghebbenden</w:t>
            </w:r>
            <w:del w:id="2" w:author="Microsoft Office-gebruiker" w:date="2021-11-29T12:48:00Z">
              <w:r w:rsidRPr="00CF2BAD">
                <w:rPr>
                  <w:rFonts w:cs="Calibri"/>
                  <w:lang w:val="nl-BE"/>
                </w:rPr>
                <w:delText xml:space="preserve"> hoofdelijk aansprakelijk</w:delText>
              </w:r>
            </w:del>
            <w:r w:rsidRPr="00272D8A">
              <w:rPr>
                <w:rFonts w:cs="Calibri"/>
                <w:lang w:val="nl-BE"/>
              </w:rPr>
              <w:t xml:space="preserve"> voor de schade die het </w:t>
            </w:r>
            <w:r w:rsidRPr="00272D8A">
              <w:rPr>
                <w:rFonts w:cs="Calibri"/>
                <w:lang w:val="nl-NL"/>
              </w:rPr>
              <w:t>onmiddellijke en rechtstreekse gevolg is van de kennelijke overwaardering van de inbrengen in natura.</w:t>
            </w:r>
          </w:p>
        </w:tc>
        <w:tc>
          <w:tcPr>
            <w:tcW w:w="5953" w:type="dxa"/>
            <w:shd w:val="clear" w:color="auto" w:fill="auto"/>
          </w:tcPr>
          <w:p w14:paraId="1F6878BB" w14:textId="7C89ACC6" w:rsidR="00307F40" w:rsidRPr="00E82991" w:rsidRDefault="00E82991" w:rsidP="00CC5255">
            <w:pPr>
              <w:spacing w:after="0" w:line="240" w:lineRule="auto"/>
              <w:jc w:val="both"/>
              <w:rPr>
                <w:rFonts w:cs="Calibri"/>
                <w:lang w:val="fr-FR"/>
              </w:rPr>
            </w:pPr>
            <w:r w:rsidRPr="00272D8A">
              <w:rPr>
                <w:rFonts w:cs="Calibri"/>
                <w:bCs/>
                <w:iCs/>
                <w:lang w:val="fr-FR"/>
              </w:rPr>
              <w:t>Nonobstant toute disposition cont</w:t>
            </w:r>
            <w:r>
              <w:rPr>
                <w:rFonts w:cs="Calibri"/>
                <w:bCs/>
                <w:iCs/>
                <w:lang w:val="fr-FR"/>
              </w:rPr>
              <w:t>raire, les membres du conseil d'</w:t>
            </w:r>
            <w:r w:rsidRPr="00272D8A">
              <w:rPr>
                <w:rFonts w:cs="Calibri"/>
                <w:bCs/>
                <w:iCs/>
                <w:lang w:val="fr-FR"/>
              </w:rPr>
              <w:t>administration ou du conseil de surveillance sont responsables solidairement</w:t>
            </w:r>
            <w:r>
              <w:rPr>
                <w:rFonts w:cs="Calibri"/>
                <w:bCs/>
                <w:iCs/>
                <w:lang w:val="fr-FR"/>
              </w:rPr>
              <w:t xml:space="preserve"> </w:t>
            </w:r>
            <w:r w:rsidR="002B7EF1">
              <w:rPr>
                <w:rFonts w:cs="Calibri"/>
                <w:bCs/>
                <w:iCs/>
                <w:lang w:val="fr-FR"/>
              </w:rPr>
              <w:fldChar w:fldCharType="begin"/>
            </w:r>
            <w:r w:rsidR="002B7EF1">
              <w:rPr>
                <w:rFonts w:cs="Calibri"/>
                <w:bCs/>
                <w:iCs/>
                <w:lang w:val="fr-FR"/>
              </w:rPr>
              <w:instrText xml:space="preserve"> HYPERLINK  \l "_Amendement_30_1" </w:instrText>
            </w:r>
            <w:r w:rsidR="002B7EF1">
              <w:rPr>
                <w:rFonts w:cs="Calibri"/>
                <w:bCs/>
                <w:iCs/>
                <w:lang w:val="fr-FR"/>
              </w:rPr>
            </w:r>
            <w:r w:rsidR="002B7EF1">
              <w:rPr>
                <w:rFonts w:cs="Calibri"/>
                <w:bCs/>
                <w:iCs/>
                <w:lang w:val="fr-FR"/>
              </w:rPr>
              <w:fldChar w:fldCharType="separate"/>
            </w:r>
            <w:ins w:id="3" w:author="Microsoft Office-gebruiker" w:date="2021-11-29T12:50:00Z">
              <w:r w:rsidRPr="002B7EF1">
                <w:rPr>
                  <w:rStyle w:val="Hyperlink"/>
                  <w:rFonts w:cs="Calibri"/>
                  <w:bCs/>
                  <w:iCs/>
                  <w:lang w:val="fr-FR"/>
                </w:rPr>
                <w:t>et l'administrateur unique est responsable</w:t>
              </w:r>
            </w:ins>
            <w:r w:rsidR="002B7EF1">
              <w:rPr>
                <w:rFonts w:cs="Calibri"/>
                <w:bCs/>
                <w:iCs/>
                <w:lang w:val="fr-FR"/>
              </w:rPr>
              <w:fldChar w:fldCharType="end"/>
            </w:r>
            <w:bookmarkStart w:id="4" w:name="_GoBack"/>
            <w:bookmarkEnd w:id="4"/>
            <w:ins w:id="5" w:author="Microsoft Office-gebruiker" w:date="2021-11-29T12:50:00Z">
              <w:r w:rsidRPr="00272D8A">
                <w:rPr>
                  <w:rFonts w:cs="Calibri"/>
                  <w:b/>
                  <w:bCs/>
                  <w:i/>
                  <w:iCs/>
                  <w:lang w:val="fr-FR"/>
                </w:rPr>
                <w:t xml:space="preserve"> </w:t>
              </w:r>
            </w:ins>
            <w:r w:rsidRPr="00272D8A">
              <w:rPr>
                <w:rFonts w:cs="Calibri"/>
                <w:bCs/>
                <w:iCs/>
                <w:lang w:val="fr-FR"/>
              </w:rPr>
              <w:t>envers les intéressés du préjudice qui est la suite immédiate et directe de la surévaluation manifeste des apports en nature.</w:t>
            </w:r>
          </w:p>
        </w:tc>
      </w:tr>
      <w:tr w:rsidR="003B67DB" w:rsidRPr="00CC5255" w14:paraId="38B4B7E3" w14:textId="77777777" w:rsidTr="00C70DB4">
        <w:trPr>
          <w:trHeight w:val="1387"/>
        </w:trPr>
        <w:tc>
          <w:tcPr>
            <w:tcW w:w="2122" w:type="dxa"/>
          </w:tcPr>
          <w:p w14:paraId="57EA6492" w14:textId="77777777" w:rsidR="003B67DB" w:rsidRDefault="003B67DB" w:rsidP="00B1132B">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56212282" w14:textId="5FC9359A" w:rsidR="003B67DB" w:rsidRPr="006E3BF7" w:rsidRDefault="006E3BF7" w:rsidP="006E3BF7">
            <w:pPr>
              <w:jc w:val="both"/>
              <w:rPr>
                <w:lang w:val="nl-NL"/>
              </w:rPr>
            </w:pPr>
            <w:r w:rsidRPr="00CF2BAD">
              <w:rPr>
                <w:rFonts w:cs="Calibri"/>
                <w:lang w:val="nl-BE"/>
              </w:rPr>
              <w:t>Art. 7:</w:t>
            </w:r>
            <w:del w:id="6" w:author="Microsoft Office-gebruiker" w:date="2021-11-29T12:49:00Z">
              <w:r w:rsidRPr="00E45C49">
                <w:rPr>
                  <w:rFonts w:cs="Calibri"/>
                  <w:lang w:val="nl-BE"/>
                </w:rPr>
                <w:delText>192</w:delText>
              </w:r>
            </w:del>
            <w:ins w:id="7" w:author="Microsoft Office-gebruiker" w:date="2021-11-29T12:49:00Z">
              <w:r w:rsidRPr="00CF2BAD">
                <w:rPr>
                  <w:rFonts w:cs="Calibri"/>
                  <w:lang w:val="nl-BE"/>
                </w:rPr>
                <w:t>206</w:t>
              </w:r>
            </w:ins>
            <w:r w:rsidRPr="00CF2BAD">
              <w:rPr>
                <w:rFonts w:cs="Calibri"/>
                <w:lang w:val="nl-BE"/>
              </w:rPr>
              <w:t xml:space="preserve">.  Niettegenstaande </w:t>
            </w:r>
            <w:del w:id="8" w:author="Microsoft Office-gebruiker" w:date="2021-11-29T12:49:00Z">
              <w:r w:rsidRPr="00E45C49">
                <w:rPr>
                  <w:rFonts w:cs="Calibri"/>
                  <w:lang w:val="nl-BE"/>
                </w:rPr>
                <w:delText>elk hiermee strijdig beding</w:delText>
              </w:r>
            </w:del>
            <w:ins w:id="9" w:author="Microsoft Office-gebruiker" w:date="2021-11-29T12:49:00Z">
              <w:r w:rsidRPr="00CF2BAD">
                <w:rPr>
                  <w:rFonts w:cs="Calibri"/>
                  <w:lang w:val="nl-BE"/>
                </w:rPr>
                <w:t>andersluidende bepaling</w:t>
              </w:r>
            </w:ins>
            <w:r w:rsidRPr="00CF2BAD">
              <w:rPr>
                <w:rFonts w:cs="Calibri"/>
                <w:lang w:val="nl-BE"/>
              </w:rPr>
              <w:t>, zijn de leden van de raad van bestuur of de raad van toezicht jegens de belanghebbenden hoofdelijk aansprakelijk voor de schade die het onmiddellijke en rechtstreekse gevolg is van de kennelijke overwaardering van de inbrengen in natura.</w:t>
            </w:r>
          </w:p>
        </w:tc>
        <w:tc>
          <w:tcPr>
            <w:tcW w:w="5953" w:type="dxa"/>
            <w:shd w:val="clear" w:color="auto" w:fill="auto"/>
          </w:tcPr>
          <w:p w14:paraId="5035BD87" w14:textId="702EDD1B" w:rsidR="003B67DB" w:rsidRPr="00566544" w:rsidRDefault="00566544" w:rsidP="00566544">
            <w:pPr>
              <w:jc w:val="both"/>
            </w:pPr>
            <w:r w:rsidRPr="00CF2BAD">
              <w:rPr>
                <w:rFonts w:cs="Calibri"/>
                <w:bCs/>
                <w:iCs/>
                <w:lang w:val="fr-FR"/>
              </w:rPr>
              <w:t xml:space="preserve">Art. </w:t>
            </w:r>
            <w:proofErr w:type="gramStart"/>
            <w:r w:rsidRPr="00CF2BAD">
              <w:rPr>
                <w:rFonts w:cs="Calibri"/>
                <w:bCs/>
                <w:iCs/>
                <w:lang w:val="fr-FR"/>
              </w:rPr>
              <w:t>7:</w:t>
            </w:r>
            <w:proofErr w:type="gramEnd"/>
            <w:del w:id="10" w:author="Microsoft Office-gebruiker" w:date="2021-11-29T12:50:00Z">
              <w:r w:rsidRPr="00E45C49">
                <w:rPr>
                  <w:rFonts w:cs="Calibri"/>
                  <w:bCs/>
                  <w:iCs/>
                  <w:lang w:val="fr-FR"/>
                </w:rPr>
                <w:delText>192</w:delText>
              </w:r>
            </w:del>
            <w:ins w:id="11" w:author="Microsoft Office-gebruiker" w:date="2021-11-29T12:50:00Z">
              <w:r w:rsidRPr="00CF2BAD">
                <w:rPr>
                  <w:rFonts w:cs="Calibri"/>
                  <w:bCs/>
                  <w:iCs/>
                  <w:lang w:val="fr-FR"/>
                </w:rPr>
                <w:t>206</w:t>
              </w:r>
            </w:ins>
            <w:r w:rsidRPr="00CF2BAD">
              <w:rPr>
                <w:rFonts w:cs="Calibri"/>
                <w:bCs/>
                <w:iCs/>
                <w:lang w:val="fr-FR"/>
              </w:rPr>
              <w:t xml:space="preserve">. Nonobstant toute </w:t>
            </w:r>
            <w:del w:id="12" w:author="Microsoft Office-gebruiker" w:date="2021-11-29T12:50:00Z">
              <w:r w:rsidRPr="00E45C49">
                <w:rPr>
                  <w:rFonts w:cs="Calibri"/>
                  <w:bCs/>
                  <w:iCs/>
                  <w:lang w:val="fr-FR"/>
                </w:rPr>
                <w:delText>stipulation</w:delText>
              </w:r>
            </w:del>
            <w:ins w:id="13" w:author="Microsoft Office-gebruiker" w:date="2021-11-29T12:50:00Z">
              <w:r w:rsidRPr="00CF2BAD">
                <w:rPr>
                  <w:rFonts w:cs="Calibri"/>
                  <w:bCs/>
                  <w:iCs/>
                  <w:lang w:val="fr-FR"/>
                </w:rPr>
                <w:t>disposition</w:t>
              </w:r>
            </w:ins>
            <w:r w:rsidRPr="00CF2BAD">
              <w:rPr>
                <w:rFonts w:cs="Calibri"/>
                <w:bCs/>
                <w:iCs/>
                <w:lang w:val="fr-FR"/>
              </w:rPr>
              <w:t xml:space="preserve"> cont</w:t>
            </w:r>
            <w:r>
              <w:rPr>
                <w:rFonts w:cs="Calibri"/>
                <w:bCs/>
                <w:iCs/>
                <w:lang w:val="fr-FR"/>
              </w:rPr>
              <w:t>raire, les membres du conseil d'</w:t>
            </w:r>
            <w:r w:rsidRPr="00CF2BAD">
              <w:rPr>
                <w:rFonts w:cs="Calibri"/>
                <w:bCs/>
                <w:iCs/>
                <w:lang w:val="fr-FR"/>
              </w:rPr>
              <w:t>administration ou du conseil de surveillance sont responsables solidairement envers les intéressés du préjudice qui est la suite immédiate et directe de la surévaluation manifeste des apports en nature.</w:t>
            </w:r>
          </w:p>
        </w:tc>
      </w:tr>
      <w:tr w:rsidR="003B67DB" w:rsidRPr="00CC5255" w14:paraId="6F45F4AF" w14:textId="77777777" w:rsidTr="00CF2BAD">
        <w:trPr>
          <w:trHeight w:val="377"/>
        </w:trPr>
        <w:tc>
          <w:tcPr>
            <w:tcW w:w="2122" w:type="dxa"/>
          </w:tcPr>
          <w:p w14:paraId="07FF6320" w14:textId="77777777" w:rsidR="003B67DB" w:rsidRPr="00E45C49" w:rsidRDefault="003B67DB" w:rsidP="00CC5255">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6B8A6610" w14:textId="77777777" w:rsidR="003B67DB" w:rsidRPr="00E45C49" w:rsidRDefault="003B67DB" w:rsidP="00CC5255">
            <w:pPr>
              <w:spacing w:after="0" w:line="240" w:lineRule="auto"/>
              <w:jc w:val="both"/>
              <w:rPr>
                <w:rFonts w:cs="Calibri"/>
                <w:lang w:val="nl-BE"/>
              </w:rPr>
            </w:pPr>
            <w:r w:rsidRPr="00E45C49">
              <w:rPr>
                <w:rFonts w:cs="Calibri"/>
                <w:lang w:val="nl-BE"/>
              </w:rPr>
              <w:t>Art. 7:192.  Niettegenstaande elk hiermee strijdig beding, zijn de leden van de raad van bestuur of de raad van toezicht jegens de belanghebbenden hoofdelijk aansprakelijk voor de schade die het onmiddellijke en rechtstreekse gevolg is van de kennelijke overwaardering van de inbrengen in natura.</w:t>
            </w:r>
          </w:p>
        </w:tc>
        <w:tc>
          <w:tcPr>
            <w:tcW w:w="5953" w:type="dxa"/>
            <w:shd w:val="clear" w:color="auto" w:fill="auto"/>
          </w:tcPr>
          <w:p w14:paraId="377A70CB" w14:textId="721E74FD" w:rsidR="003B67DB" w:rsidRPr="00E45C49" w:rsidRDefault="003B67DB" w:rsidP="00CC5255">
            <w:pPr>
              <w:spacing w:after="0" w:line="240" w:lineRule="auto"/>
              <w:jc w:val="both"/>
              <w:rPr>
                <w:rFonts w:cs="Calibri"/>
                <w:bCs/>
                <w:iCs/>
                <w:lang w:val="fr-FR"/>
              </w:rPr>
            </w:pPr>
            <w:r w:rsidRPr="00E45C49">
              <w:rPr>
                <w:rFonts w:cs="Calibri"/>
                <w:bCs/>
                <w:iCs/>
                <w:lang w:val="fr-FR"/>
              </w:rPr>
              <w:t xml:space="preserve">Art. </w:t>
            </w:r>
            <w:proofErr w:type="gramStart"/>
            <w:r w:rsidRPr="00E45C49">
              <w:rPr>
                <w:rFonts w:cs="Calibri"/>
                <w:bCs/>
                <w:iCs/>
                <w:lang w:val="fr-FR"/>
              </w:rPr>
              <w:t>7:</w:t>
            </w:r>
            <w:proofErr w:type="gramEnd"/>
            <w:r w:rsidRPr="00E45C49">
              <w:rPr>
                <w:rFonts w:cs="Calibri"/>
                <w:bCs/>
                <w:iCs/>
                <w:lang w:val="fr-FR"/>
              </w:rPr>
              <w:t>192. Nonobstant toute stipulation cont</w:t>
            </w:r>
            <w:r w:rsidR="00E62C4E">
              <w:rPr>
                <w:rFonts w:cs="Calibri"/>
                <w:bCs/>
                <w:iCs/>
                <w:lang w:val="fr-FR"/>
              </w:rPr>
              <w:t>raire, les membres du conseil d'</w:t>
            </w:r>
            <w:r w:rsidRPr="00E45C49">
              <w:rPr>
                <w:rFonts w:cs="Calibri"/>
                <w:bCs/>
                <w:iCs/>
                <w:lang w:val="fr-FR"/>
              </w:rPr>
              <w:t>administration ou du conseil de surveillance sont responsables solidairement envers les intéressés du préjudice qui est la suite immédiate et directe de la surévaluation manifeste des apports en nature.</w:t>
            </w:r>
          </w:p>
        </w:tc>
      </w:tr>
      <w:tr w:rsidR="003B67DB" w:rsidRPr="00CC5255" w14:paraId="3903E383" w14:textId="77777777" w:rsidTr="00CF2BAD">
        <w:trPr>
          <w:trHeight w:val="377"/>
        </w:trPr>
        <w:tc>
          <w:tcPr>
            <w:tcW w:w="2122" w:type="dxa"/>
          </w:tcPr>
          <w:p w14:paraId="69C8CEB7" w14:textId="77777777" w:rsidR="003B67DB" w:rsidRDefault="003B67DB" w:rsidP="00CC5255">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7AF271C" w14:textId="77777777" w:rsidR="003B67DB" w:rsidRPr="000B0655" w:rsidRDefault="003B67DB" w:rsidP="00CC5255">
            <w:pPr>
              <w:spacing w:after="0" w:line="240" w:lineRule="auto"/>
              <w:jc w:val="both"/>
              <w:rPr>
                <w:rFonts w:cs="Calibri"/>
                <w:lang w:val="nl-BE"/>
              </w:rPr>
            </w:pPr>
            <w:r w:rsidRPr="000B0655">
              <w:rPr>
                <w:rFonts w:cs="Calibri"/>
                <w:lang w:val="nl-BE"/>
              </w:rPr>
              <w:t>Deze bepalingen hernemen de artikelen 610-611 W.Venn. Bovendien wordt voortaan een duidelijk onderscheid gemaakt tussen de garantieverplichtingen waartoe de bestuurders krachtens artikel 7:205 gehouden zijn, en de grond van aansprakelijkheid die in artikel 7:206 wordt opgenomen. Het onderscheid is van belang voor de  beperking van de bestuurdersaansprakelijkheid overeenkomstig artikel 2:56 die enkel geldt voor aansprakelijkheid sensu stricto, en niet voor garantieverplichtingen.</w:t>
            </w:r>
          </w:p>
        </w:tc>
        <w:tc>
          <w:tcPr>
            <w:tcW w:w="5953" w:type="dxa"/>
            <w:shd w:val="clear" w:color="auto" w:fill="auto"/>
          </w:tcPr>
          <w:p w14:paraId="757C34D6" w14:textId="77777777" w:rsidR="003B67DB" w:rsidRPr="000B0655" w:rsidRDefault="003B67DB" w:rsidP="00CC5255">
            <w:pPr>
              <w:spacing w:after="0" w:line="240" w:lineRule="auto"/>
              <w:jc w:val="both"/>
              <w:rPr>
                <w:rFonts w:cs="Calibri"/>
                <w:bCs/>
                <w:iCs/>
                <w:lang w:val="fr-FR"/>
              </w:rPr>
            </w:pPr>
            <w:r w:rsidRPr="000B0655">
              <w:rPr>
                <w:rFonts w:cs="Calibri"/>
                <w:bCs/>
                <w:iCs/>
                <w:lang w:val="fr-FR"/>
              </w:rPr>
              <w:t xml:space="preserve">Ces dispositions reprennent les articles 610 et 611 C. Soc. De plus, il y a dorénavant une distinction claire entre les obligations de garanties auxquelles sont tenus les administrateurs en vertu de l’article </w:t>
            </w:r>
            <w:proofErr w:type="gramStart"/>
            <w:r w:rsidRPr="000B0655">
              <w:rPr>
                <w:rFonts w:cs="Calibri"/>
                <w:bCs/>
                <w:iCs/>
                <w:lang w:val="fr-FR"/>
              </w:rPr>
              <w:t>7:</w:t>
            </w:r>
            <w:proofErr w:type="gramEnd"/>
            <w:r w:rsidRPr="000B0655">
              <w:rPr>
                <w:rFonts w:cs="Calibri"/>
                <w:bCs/>
                <w:iCs/>
                <w:lang w:val="fr-FR"/>
              </w:rPr>
              <w:t xml:space="preserve">205, et la cause de responsabilité énoncée à l’article 7:206. La distinction est importante pour la limitation de la responsabilité de l’administrateur conformément à l’article </w:t>
            </w:r>
            <w:proofErr w:type="gramStart"/>
            <w:r w:rsidRPr="000B0655">
              <w:rPr>
                <w:rFonts w:cs="Calibri"/>
                <w:bCs/>
                <w:iCs/>
                <w:lang w:val="fr-FR"/>
              </w:rPr>
              <w:t>2:</w:t>
            </w:r>
            <w:proofErr w:type="gramEnd"/>
            <w:r w:rsidRPr="000B0655">
              <w:rPr>
                <w:rFonts w:cs="Calibri"/>
                <w:bCs/>
                <w:iCs/>
                <w:lang w:val="fr-FR"/>
              </w:rPr>
              <w:t>56, qui ne s’applique que pour la responsabilité au sens strict, et non pour les obligations de garantie.</w:t>
            </w:r>
          </w:p>
        </w:tc>
      </w:tr>
      <w:tr w:rsidR="003B67DB" w:rsidRPr="000B0655" w14:paraId="5081D2B3" w14:textId="77777777" w:rsidTr="00CF2BAD">
        <w:trPr>
          <w:trHeight w:val="377"/>
        </w:trPr>
        <w:tc>
          <w:tcPr>
            <w:tcW w:w="2122" w:type="dxa"/>
          </w:tcPr>
          <w:p w14:paraId="653BF679" w14:textId="77777777" w:rsidR="003B67DB" w:rsidRDefault="003B67DB" w:rsidP="00CC5255">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86B70A6" w14:textId="77777777" w:rsidR="003B67DB" w:rsidRPr="000B0655" w:rsidRDefault="003B67DB" w:rsidP="00CC5255">
            <w:pPr>
              <w:spacing w:after="0" w:line="240" w:lineRule="auto"/>
              <w:jc w:val="both"/>
              <w:rPr>
                <w:rFonts w:cs="Calibri"/>
                <w:lang w:val="nl-BE"/>
              </w:rPr>
            </w:pPr>
            <w:r>
              <w:rPr>
                <w:rFonts w:cs="Calibri"/>
                <w:lang w:val="nl-BE"/>
              </w:rPr>
              <w:t>Geen opmerkingen.</w:t>
            </w:r>
          </w:p>
        </w:tc>
        <w:tc>
          <w:tcPr>
            <w:tcW w:w="5953" w:type="dxa"/>
            <w:shd w:val="clear" w:color="auto" w:fill="auto"/>
          </w:tcPr>
          <w:p w14:paraId="5CCD7156" w14:textId="77777777" w:rsidR="003B67DB" w:rsidRPr="000B0655" w:rsidRDefault="003B67DB" w:rsidP="00CC5255">
            <w:pPr>
              <w:spacing w:after="0" w:line="240" w:lineRule="auto"/>
              <w:jc w:val="both"/>
              <w:rPr>
                <w:rFonts w:cs="Calibri"/>
                <w:bCs/>
                <w:iCs/>
                <w:lang w:val="fr-FR"/>
              </w:rPr>
            </w:pPr>
            <w:r>
              <w:rPr>
                <w:rFonts w:cs="Calibri"/>
                <w:bCs/>
                <w:iCs/>
                <w:lang w:val="fr-FR"/>
              </w:rPr>
              <w:t>Pas de remarques.</w:t>
            </w:r>
          </w:p>
        </w:tc>
      </w:tr>
      <w:tr w:rsidR="003B67DB" w:rsidRPr="00CC5255" w14:paraId="1208078F" w14:textId="77777777" w:rsidTr="00CF2BAD">
        <w:trPr>
          <w:trHeight w:val="377"/>
        </w:trPr>
        <w:tc>
          <w:tcPr>
            <w:tcW w:w="2122" w:type="dxa"/>
          </w:tcPr>
          <w:p w14:paraId="1F7CEA6E" w14:textId="77777777" w:rsidR="003B67DB" w:rsidRDefault="003B67DB" w:rsidP="002B7EF1">
            <w:pPr>
              <w:pStyle w:val="Kop1"/>
              <w:rPr>
                <w:lang w:val="fr-FR"/>
              </w:rPr>
            </w:pPr>
            <w:bookmarkStart w:id="14" w:name="_Amendement_30"/>
            <w:bookmarkStart w:id="15" w:name="_Amendement_30_1"/>
            <w:bookmarkEnd w:id="14"/>
            <w:bookmarkEnd w:id="15"/>
            <w:r>
              <w:rPr>
                <w:lang w:val="fr-FR"/>
              </w:rPr>
              <w:t>Amendement 30</w:t>
            </w:r>
          </w:p>
        </w:tc>
        <w:tc>
          <w:tcPr>
            <w:tcW w:w="5670" w:type="dxa"/>
            <w:shd w:val="clear" w:color="auto" w:fill="auto"/>
          </w:tcPr>
          <w:p w14:paraId="163A49CB" w14:textId="77777777" w:rsidR="003B67DB" w:rsidRPr="00B46A2B" w:rsidRDefault="003B67DB" w:rsidP="00CC5255">
            <w:pPr>
              <w:spacing w:after="0" w:line="240" w:lineRule="auto"/>
              <w:jc w:val="both"/>
              <w:rPr>
                <w:rFonts w:cs="Calibri"/>
                <w:lang w:val="nl-BE"/>
              </w:rPr>
            </w:pPr>
            <w:r w:rsidRPr="00B46A2B">
              <w:rPr>
                <w:rFonts w:cs="Calibri"/>
                <w:lang w:val="nl-BE"/>
              </w:rPr>
              <w:t>In het voorges</w:t>
            </w:r>
            <w:r>
              <w:rPr>
                <w:rFonts w:cs="Calibri"/>
                <w:lang w:val="nl-BE"/>
              </w:rPr>
              <w:t xml:space="preserve">telde artikel 7:206, de woorden </w:t>
            </w:r>
            <w:r w:rsidRPr="00B46A2B">
              <w:rPr>
                <w:rFonts w:cs="Calibri"/>
                <w:lang w:val="nl-BE"/>
              </w:rPr>
              <w:t>“jegens de belanghebb</w:t>
            </w:r>
            <w:r>
              <w:rPr>
                <w:rFonts w:cs="Calibri"/>
                <w:lang w:val="nl-BE"/>
              </w:rPr>
              <w:t xml:space="preserve">enden hoofdelijk aansprakelijk” </w:t>
            </w:r>
            <w:r w:rsidRPr="00B46A2B">
              <w:rPr>
                <w:rFonts w:cs="Calibri"/>
                <w:lang w:val="nl-BE"/>
              </w:rPr>
              <w:t>vervangen door de woorden “hoofdelijk aansprakelijk en is de enige bes</w:t>
            </w:r>
            <w:r>
              <w:rPr>
                <w:rFonts w:cs="Calibri"/>
                <w:lang w:val="nl-BE"/>
              </w:rPr>
              <w:t xml:space="preserve">tuurder aansprakelijk jegens de </w:t>
            </w:r>
            <w:r w:rsidRPr="00B46A2B">
              <w:rPr>
                <w:rFonts w:cs="Calibri"/>
                <w:lang w:val="nl-BE"/>
              </w:rPr>
              <w:t>belanghebbenden”.</w:t>
            </w:r>
          </w:p>
          <w:p w14:paraId="552D9D54" w14:textId="77777777" w:rsidR="003B67DB" w:rsidRDefault="003B67DB" w:rsidP="00CC5255">
            <w:pPr>
              <w:spacing w:after="0" w:line="240" w:lineRule="auto"/>
              <w:jc w:val="both"/>
              <w:rPr>
                <w:rFonts w:cs="Calibri"/>
                <w:lang w:val="nl-BE"/>
              </w:rPr>
            </w:pPr>
          </w:p>
          <w:p w14:paraId="51F97C47" w14:textId="77777777" w:rsidR="003B67DB" w:rsidRDefault="003B67DB" w:rsidP="00CC5255">
            <w:pPr>
              <w:spacing w:after="0" w:line="240" w:lineRule="auto"/>
              <w:jc w:val="both"/>
              <w:rPr>
                <w:rFonts w:cs="Calibri"/>
                <w:lang w:val="nl-BE"/>
              </w:rPr>
            </w:pPr>
            <w:r w:rsidRPr="00B46A2B">
              <w:rPr>
                <w:rFonts w:cs="Calibri"/>
                <w:lang w:val="nl-BE"/>
              </w:rPr>
              <w:t>VERANTWOORDING</w:t>
            </w:r>
          </w:p>
          <w:p w14:paraId="6B2184AF" w14:textId="77777777" w:rsidR="003B67DB" w:rsidRPr="00B46A2B" w:rsidRDefault="003B67DB" w:rsidP="00CC5255">
            <w:pPr>
              <w:spacing w:after="0" w:line="240" w:lineRule="auto"/>
              <w:jc w:val="both"/>
              <w:rPr>
                <w:rFonts w:cs="Calibri"/>
                <w:lang w:val="nl-BE"/>
              </w:rPr>
            </w:pPr>
          </w:p>
          <w:p w14:paraId="7FEC260E" w14:textId="77777777" w:rsidR="003B67DB" w:rsidRPr="00B46A2B" w:rsidRDefault="003B67DB" w:rsidP="00CC5255">
            <w:pPr>
              <w:spacing w:after="0" w:line="240" w:lineRule="auto"/>
              <w:jc w:val="both"/>
              <w:rPr>
                <w:rFonts w:cs="Calibri"/>
                <w:lang w:val="nl-BE"/>
              </w:rPr>
            </w:pPr>
            <w:r w:rsidRPr="00B46A2B">
              <w:rPr>
                <w:rFonts w:cs="Calibri"/>
                <w:lang w:val="nl-BE"/>
              </w:rPr>
              <w:t>Dit amendement verduidelijkt dat ook de enige bestuurder, naast de raad van bes</w:t>
            </w:r>
            <w:r>
              <w:rPr>
                <w:rFonts w:cs="Calibri"/>
                <w:lang w:val="nl-BE"/>
              </w:rPr>
              <w:t xml:space="preserve">tuur (monistisch bestuur) en de </w:t>
            </w:r>
            <w:r w:rsidRPr="00B46A2B">
              <w:rPr>
                <w:rFonts w:cs="Calibri"/>
                <w:lang w:val="nl-BE"/>
              </w:rPr>
              <w:t>raad van toezicht (duaal bestuur), aansprakelijk ka</w:t>
            </w:r>
            <w:r>
              <w:rPr>
                <w:rFonts w:cs="Calibri"/>
                <w:lang w:val="nl-BE"/>
              </w:rPr>
              <w:t xml:space="preserve">n worden </w:t>
            </w:r>
            <w:r w:rsidRPr="00B46A2B">
              <w:rPr>
                <w:rFonts w:cs="Calibri"/>
                <w:lang w:val="nl-BE"/>
              </w:rPr>
              <w:t>gesteld voor de schade die het gevolg is van de kennelijke</w:t>
            </w:r>
          </w:p>
          <w:p w14:paraId="217CEA4A" w14:textId="77777777" w:rsidR="003B67DB" w:rsidRDefault="003B67DB" w:rsidP="00CC5255">
            <w:pPr>
              <w:spacing w:after="0" w:line="240" w:lineRule="auto"/>
              <w:jc w:val="both"/>
              <w:rPr>
                <w:rFonts w:cs="Calibri"/>
                <w:lang w:val="nl-BE"/>
              </w:rPr>
            </w:pPr>
            <w:r w:rsidRPr="00B46A2B">
              <w:rPr>
                <w:rFonts w:cs="Calibri"/>
                <w:lang w:val="nl-BE"/>
              </w:rPr>
              <w:t>overwaardering van de inbrengen in natura.</w:t>
            </w:r>
          </w:p>
        </w:tc>
        <w:tc>
          <w:tcPr>
            <w:tcW w:w="5953" w:type="dxa"/>
            <w:shd w:val="clear" w:color="auto" w:fill="auto"/>
          </w:tcPr>
          <w:p w14:paraId="5034CE75" w14:textId="77777777" w:rsidR="003B67DB" w:rsidRPr="00B46A2B" w:rsidRDefault="003B67DB" w:rsidP="00CC5255">
            <w:pPr>
              <w:spacing w:after="0" w:line="240" w:lineRule="auto"/>
              <w:jc w:val="both"/>
              <w:rPr>
                <w:rFonts w:cs="Calibri"/>
                <w:bCs/>
                <w:iCs/>
                <w:lang w:val="fr-FR"/>
              </w:rPr>
            </w:pPr>
            <w:r w:rsidRPr="00B46A2B">
              <w:rPr>
                <w:rFonts w:cs="Calibri"/>
                <w:bCs/>
                <w:iCs/>
                <w:lang w:val="fr-FR"/>
              </w:rPr>
              <w:t xml:space="preserve">Dans l’article </w:t>
            </w:r>
            <w:proofErr w:type="gramStart"/>
            <w:r w:rsidRPr="00B46A2B">
              <w:rPr>
                <w:rFonts w:cs="Calibri"/>
                <w:bCs/>
                <w:iCs/>
                <w:lang w:val="fr-FR"/>
              </w:rPr>
              <w:t>7</w:t>
            </w:r>
            <w:r>
              <w:rPr>
                <w:rFonts w:cs="Calibri"/>
                <w:bCs/>
                <w:iCs/>
                <w:lang w:val="fr-FR"/>
              </w:rPr>
              <w:t>:</w:t>
            </w:r>
            <w:proofErr w:type="gramEnd"/>
            <w:r>
              <w:rPr>
                <w:rFonts w:cs="Calibri"/>
                <w:bCs/>
                <w:iCs/>
                <w:lang w:val="fr-FR"/>
              </w:rPr>
              <w:t xml:space="preserve">206  proposé, insérer les mots </w:t>
            </w:r>
            <w:r w:rsidRPr="00B46A2B">
              <w:rPr>
                <w:rFonts w:cs="Calibri"/>
                <w:bCs/>
                <w:iCs/>
                <w:lang w:val="fr-FR"/>
              </w:rPr>
              <w:t>“et l’administrateur un</w:t>
            </w:r>
            <w:r>
              <w:rPr>
                <w:rFonts w:cs="Calibri"/>
                <w:bCs/>
                <w:iCs/>
                <w:lang w:val="fr-FR"/>
              </w:rPr>
              <w:t xml:space="preserve">ique est responsable” entre les </w:t>
            </w:r>
            <w:r w:rsidRPr="00B46A2B">
              <w:rPr>
                <w:rFonts w:cs="Calibri"/>
                <w:bCs/>
                <w:iCs/>
                <w:lang w:val="fr-FR"/>
              </w:rPr>
              <w:t>mots “responsables solidairement” et les mo</w:t>
            </w:r>
            <w:r>
              <w:rPr>
                <w:rFonts w:cs="Calibri"/>
                <w:bCs/>
                <w:iCs/>
                <w:lang w:val="fr-FR"/>
              </w:rPr>
              <w:t xml:space="preserve">ts “envers </w:t>
            </w:r>
            <w:r w:rsidRPr="00B46A2B">
              <w:rPr>
                <w:rFonts w:cs="Calibri"/>
                <w:bCs/>
                <w:iCs/>
                <w:lang w:val="fr-FR"/>
              </w:rPr>
              <w:t>les intéressés”.</w:t>
            </w:r>
          </w:p>
          <w:p w14:paraId="14E1337A" w14:textId="77777777" w:rsidR="003B67DB" w:rsidRDefault="003B67DB" w:rsidP="00CC5255">
            <w:pPr>
              <w:spacing w:after="0" w:line="240" w:lineRule="auto"/>
              <w:jc w:val="both"/>
              <w:rPr>
                <w:rFonts w:cs="Calibri"/>
                <w:bCs/>
                <w:iCs/>
                <w:lang w:val="fr-FR"/>
              </w:rPr>
            </w:pPr>
          </w:p>
          <w:p w14:paraId="1E80820D" w14:textId="77777777" w:rsidR="003B67DB" w:rsidRDefault="003B67DB" w:rsidP="00CC5255">
            <w:pPr>
              <w:spacing w:after="0" w:line="240" w:lineRule="auto"/>
              <w:jc w:val="both"/>
              <w:rPr>
                <w:rFonts w:cs="Calibri"/>
                <w:bCs/>
                <w:iCs/>
                <w:lang w:val="fr-FR"/>
              </w:rPr>
            </w:pPr>
            <w:r w:rsidRPr="00B46A2B">
              <w:rPr>
                <w:rFonts w:cs="Calibri"/>
                <w:bCs/>
                <w:iCs/>
                <w:lang w:val="fr-FR"/>
              </w:rPr>
              <w:t>JUSTIFICATION</w:t>
            </w:r>
          </w:p>
          <w:p w14:paraId="4309DF13" w14:textId="77777777" w:rsidR="003B67DB" w:rsidRPr="00B46A2B" w:rsidRDefault="003B67DB" w:rsidP="00CC5255">
            <w:pPr>
              <w:spacing w:after="0" w:line="240" w:lineRule="auto"/>
              <w:jc w:val="both"/>
              <w:rPr>
                <w:rFonts w:cs="Calibri"/>
                <w:bCs/>
                <w:iCs/>
                <w:lang w:val="fr-FR"/>
              </w:rPr>
            </w:pPr>
          </w:p>
          <w:p w14:paraId="6CBFB823" w14:textId="77777777" w:rsidR="003B67DB" w:rsidRPr="00B46A2B" w:rsidRDefault="003B67DB" w:rsidP="00CC5255">
            <w:pPr>
              <w:spacing w:after="0" w:line="240" w:lineRule="auto"/>
              <w:jc w:val="both"/>
              <w:rPr>
                <w:rFonts w:cs="Calibri"/>
                <w:bCs/>
                <w:iCs/>
                <w:lang w:val="fr-FR"/>
              </w:rPr>
            </w:pPr>
            <w:r w:rsidRPr="00B46A2B">
              <w:rPr>
                <w:rFonts w:cs="Calibri"/>
                <w:bCs/>
                <w:iCs/>
                <w:lang w:val="fr-FR"/>
              </w:rPr>
              <w:t>Cet amendement préci</w:t>
            </w:r>
            <w:r>
              <w:rPr>
                <w:rFonts w:cs="Calibri"/>
                <w:bCs/>
                <w:iCs/>
                <w:lang w:val="fr-FR"/>
              </w:rPr>
              <w:t xml:space="preserve">se que l’administrateur unique, </w:t>
            </w:r>
            <w:r w:rsidRPr="00B46A2B">
              <w:rPr>
                <w:rFonts w:cs="Calibri"/>
                <w:bCs/>
                <w:iCs/>
                <w:lang w:val="fr-FR"/>
              </w:rPr>
              <w:t>outre le conseil d’administrat</w:t>
            </w:r>
            <w:r>
              <w:rPr>
                <w:rFonts w:cs="Calibri"/>
                <w:bCs/>
                <w:iCs/>
                <w:lang w:val="fr-FR"/>
              </w:rPr>
              <w:t xml:space="preserve">ion (administration moniste) et </w:t>
            </w:r>
            <w:r w:rsidRPr="00B46A2B">
              <w:rPr>
                <w:rFonts w:cs="Calibri"/>
                <w:bCs/>
                <w:iCs/>
                <w:lang w:val="fr-FR"/>
              </w:rPr>
              <w:t>le conseil de surveillance (administration duale), peut également être tenu responsable du préjudice</w:t>
            </w:r>
            <w:r>
              <w:rPr>
                <w:rFonts w:cs="Calibri"/>
                <w:bCs/>
                <w:iCs/>
                <w:lang w:val="fr-FR"/>
              </w:rPr>
              <w:t xml:space="preserve"> qui est la suite de la </w:t>
            </w:r>
            <w:r w:rsidRPr="00B46A2B">
              <w:rPr>
                <w:rFonts w:cs="Calibri"/>
                <w:bCs/>
                <w:iCs/>
                <w:lang w:val="fr-FR"/>
              </w:rPr>
              <w:t>surévaluation manifeste des apports en nature.</w:t>
            </w:r>
          </w:p>
        </w:tc>
      </w:tr>
    </w:tbl>
    <w:p w14:paraId="5916C1B4" w14:textId="77777777" w:rsidR="000D42B6" w:rsidRPr="00B46A2B" w:rsidRDefault="000D42B6">
      <w:pPr>
        <w:rPr>
          <w:lang w:val="fr-FR"/>
        </w:rPr>
      </w:pPr>
    </w:p>
    <w:sectPr w:rsidR="000D42B6" w:rsidRPr="00B46A2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3CF2" w14:textId="77777777" w:rsidR="00FD61F3" w:rsidRDefault="00FD61F3" w:rsidP="000D42B6">
      <w:pPr>
        <w:spacing w:after="0" w:line="240" w:lineRule="auto"/>
      </w:pPr>
      <w:r>
        <w:separator/>
      </w:r>
    </w:p>
  </w:endnote>
  <w:endnote w:type="continuationSeparator" w:id="0">
    <w:p w14:paraId="33600A9E" w14:textId="77777777" w:rsidR="00FD61F3" w:rsidRDefault="00FD61F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2110" w14:textId="77777777" w:rsidR="00FD61F3" w:rsidRDefault="00FD61F3" w:rsidP="000D42B6">
      <w:pPr>
        <w:spacing w:after="0" w:line="240" w:lineRule="auto"/>
      </w:pPr>
      <w:r>
        <w:separator/>
      </w:r>
    </w:p>
  </w:footnote>
  <w:footnote w:type="continuationSeparator" w:id="0">
    <w:p w14:paraId="4D9F29EB" w14:textId="77777777" w:rsidR="00FD61F3" w:rsidRDefault="00FD61F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282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0655"/>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B7EF1"/>
    <w:rsid w:val="002C3413"/>
    <w:rsid w:val="002E255A"/>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7DB"/>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66544"/>
    <w:rsid w:val="005B33B1"/>
    <w:rsid w:val="005B3DDA"/>
    <w:rsid w:val="005D0101"/>
    <w:rsid w:val="005D1273"/>
    <w:rsid w:val="005E53AE"/>
    <w:rsid w:val="00602363"/>
    <w:rsid w:val="00642BA0"/>
    <w:rsid w:val="006739CA"/>
    <w:rsid w:val="00697A0E"/>
    <w:rsid w:val="006A58D7"/>
    <w:rsid w:val="006B1BD0"/>
    <w:rsid w:val="006C1558"/>
    <w:rsid w:val="006C2BF0"/>
    <w:rsid w:val="006E3BF7"/>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46A2B"/>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70DB4"/>
    <w:rsid w:val="00C92E1F"/>
    <w:rsid w:val="00C96734"/>
    <w:rsid w:val="00C97319"/>
    <w:rsid w:val="00C97B09"/>
    <w:rsid w:val="00CA2BEB"/>
    <w:rsid w:val="00CA77E7"/>
    <w:rsid w:val="00CB4E93"/>
    <w:rsid w:val="00CB6976"/>
    <w:rsid w:val="00CC5255"/>
    <w:rsid w:val="00CD1F25"/>
    <w:rsid w:val="00CF2BAD"/>
    <w:rsid w:val="00CF7A49"/>
    <w:rsid w:val="00D017F4"/>
    <w:rsid w:val="00D30CCE"/>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45C49"/>
    <w:rsid w:val="00E50472"/>
    <w:rsid w:val="00E5159B"/>
    <w:rsid w:val="00E519BE"/>
    <w:rsid w:val="00E5217D"/>
    <w:rsid w:val="00E6238A"/>
    <w:rsid w:val="00E62C4E"/>
    <w:rsid w:val="00E66181"/>
    <w:rsid w:val="00E737B9"/>
    <w:rsid w:val="00E76C5F"/>
    <w:rsid w:val="00E82991"/>
    <w:rsid w:val="00E91A57"/>
    <w:rsid w:val="00EB19EC"/>
    <w:rsid w:val="00EE0375"/>
    <w:rsid w:val="00EF6FD3"/>
    <w:rsid w:val="00F13F38"/>
    <w:rsid w:val="00F27FD8"/>
    <w:rsid w:val="00F507BD"/>
    <w:rsid w:val="00F530F5"/>
    <w:rsid w:val="00F9025C"/>
    <w:rsid w:val="00FA09D7"/>
    <w:rsid w:val="00FB5D76"/>
    <w:rsid w:val="00FC395D"/>
    <w:rsid w:val="00FC78AD"/>
    <w:rsid w:val="00FD572F"/>
    <w:rsid w:val="00FD61F3"/>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132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B7EF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2B7EF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B7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76DF-A643-B142-8229-59578939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3383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224</cp:revision>
  <dcterms:created xsi:type="dcterms:W3CDTF">2019-10-18T10:25:00Z</dcterms:created>
  <dcterms:modified xsi:type="dcterms:W3CDTF">2021-11-29T11:52:00Z</dcterms:modified>
</cp:coreProperties>
</file>