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82F72A3" w14:textId="77777777" w:rsidTr="00E17723">
        <w:tc>
          <w:tcPr>
            <w:tcW w:w="1980" w:type="dxa"/>
          </w:tcPr>
          <w:p w14:paraId="0C68F52D" w14:textId="77777777" w:rsidR="000D42B6" w:rsidRPr="00B07AC9" w:rsidRDefault="000D42B6" w:rsidP="00542C09">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w:t>
            </w:r>
            <w:r w:rsidR="00812011">
              <w:rPr>
                <w:b/>
                <w:sz w:val="32"/>
                <w:szCs w:val="32"/>
                <w:lang w:val="nl-BE"/>
              </w:rPr>
              <w:t>4</w:t>
            </w:r>
          </w:p>
        </w:tc>
        <w:tc>
          <w:tcPr>
            <w:tcW w:w="11765" w:type="dxa"/>
            <w:gridSpan w:val="2"/>
            <w:shd w:val="clear" w:color="auto" w:fill="auto"/>
          </w:tcPr>
          <w:p w14:paraId="319264BD" w14:textId="77777777" w:rsidR="000D42B6" w:rsidRPr="00382324" w:rsidRDefault="000D42B6" w:rsidP="00542C09">
            <w:pPr>
              <w:rPr>
                <w:rFonts w:asciiTheme="majorHAnsi" w:eastAsiaTheme="majorEastAsia" w:hAnsiTheme="majorHAnsi" w:cstheme="majorBidi"/>
                <w:b/>
                <w:bCs/>
                <w:color w:val="2E74B5" w:themeColor="accent1" w:themeShade="BF"/>
                <w:sz w:val="32"/>
                <w:szCs w:val="28"/>
                <w:lang w:val="nl-BE"/>
              </w:rPr>
            </w:pPr>
          </w:p>
        </w:tc>
      </w:tr>
      <w:tr w:rsidR="005B33B1" w:rsidRPr="002A763A" w14:paraId="32D8C897" w14:textId="77777777" w:rsidTr="00E17723">
        <w:tc>
          <w:tcPr>
            <w:tcW w:w="1980" w:type="dxa"/>
          </w:tcPr>
          <w:p w14:paraId="2F4DB819" w14:textId="77777777" w:rsidR="005B33B1" w:rsidRPr="00B07AC9" w:rsidRDefault="005B33B1" w:rsidP="00542C09">
            <w:pPr>
              <w:rPr>
                <w:b/>
                <w:sz w:val="32"/>
                <w:szCs w:val="32"/>
                <w:lang w:val="nl-BE"/>
              </w:rPr>
            </w:pPr>
          </w:p>
        </w:tc>
        <w:tc>
          <w:tcPr>
            <w:tcW w:w="11765" w:type="dxa"/>
            <w:gridSpan w:val="2"/>
            <w:shd w:val="clear" w:color="auto" w:fill="auto"/>
          </w:tcPr>
          <w:p w14:paraId="539C6B9A" w14:textId="77777777" w:rsidR="005B33B1" w:rsidRPr="00382324" w:rsidRDefault="005B33B1" w:rsidP="00542C09">
            <w:pPr>
              <w:rPr>
                <w:rFonts w:asciiTheme="majorHAnsi" w:eastAsiaTheme="majorEastAsia" w:hAnsiTheme="majorHAnsi" w:cstheme="majorBidi"/>
                <w:b/>
                <w:bCs/>
                <w:color w:val="2E74B5" w:themeColor="accent1" w:themeShade="BF"/>
                <w:sz w:val="32"/>
                <w:szCs w:val="28"/>
                <w:lang w:val="nl-BE"/>
              </w:rPr>
            </w:pPr>
          </w:p>
        </w:tc>
      </w:tr>
      <w:tr w:rsidR="00812011" w:rsidRPr="000E575D" w14:paraId="09B48454" w14:textId="77777777" w:rsidTr="00471F6B">
        <w:trPr>
          <w:trHeight w:val="1086"/>
        </w:trPr>
        <w:tc>
          <w:tcPr>
            <w:tcW w:w="1980" w:type="dxa"/>
          </w:tcPr>
          <w:p w14:paraId="419413EF" w14:textId="77777777" w:rsidR="00812011" w:rsidRDefault="00812011" w:rsidP="00542C09">
            <w:pPr>
              <w:spacing w:after="0" w:line="240" w:lineRule="auto"/>
              <w:jc w:val="both"/>
              <w:rPr>
                <w:rFonts w:cs="Calibri"/>
                <w:lang w:val="nl-BE"/>
              </w:rPr>
            </w:pPr>
            <w:r>
              <w:rPr>
                <w:rFonts w:cs="Calibri"/>
                <w:lang w:val="nl-BE"/>
              </w:rPr>
              <w:t>WVV</w:t>
            </w:r>
          </w:p>
        </w:tc>
        <w:tc>
          <w:tcPr>
            <w:tcW w:w="5812" w:type="dxa"/>
            <w:shd w:val="clear" w:color="auto" w:fill="auto"/>
          </w:tcPr>
          <w:p w14:paraId="68CD91D0" w14:textId="77777777" w:rsidR="00812011" w:rsidRPr="00542C09" w:rsidRDefault="00812011" w:rsidP="00542C09">
            <w:pPr>
              <w:spacing w:after="0" w:line="240" w:lineRule="auto"/>
              <w:jc w:val="both"/>
              <w:rPr>
                <w:rFonts w:cs="Calibri"/>
                <w:lang w:val="nl-NL"/>
              </w:rPr>
            </w:pPr>
            <w:r w:rsidRPr="00561D1C">
              <w:rPr>
                <w:rFonts w:cs="Calibri"/>
                <w:lang w:val="nl-NL"/>
              </w:rPr>
              <w:t>Indien verscheidene personen zakelijke rechten hebben op eenzelfde aandeel of winstbewijs, kan de vennootschap de uitoefening van het stemrecht schorsen totdat een enkele persoon ten aanzien van de vennootschap als houder van het stemrecht is aangewezen.</w:t>
            </w:r>
          </w:p>
        </w:tc>
        <w:tc>
          <w:tcPr>
            <w:tcW w:w="5953" w:type="dxa"/>
            <w:shd w:val="clear" w:color="auto" w:fill="auto"/>
          </w:tcPr>
          <w:p w14:paraId="315FB82C" w14:textId="77777777" w:rsidR="00812011" w:rsidRPr="00812011" w:rsidRDefault="00812011" w:rsidP="00542C09">
            <w:pPr>
              <w:spacing w:after="0" w:line="240" w:lineRule="auto"/>
              <w:jc w:val="both"/>
              <w:rPr>
                <w:rFonts w:cs="Calibri"/>
                <w:lang w:val="fr-FR"/>
              </w:rPr>
            </w:pPr>
            <w:r w:rsidRPr="00561D1C">
              <w:rPr>
                <w:rFonts w:cs="Calibri"/>
                <w:bCs/>
                <w:iCs/>
                <w:lang w:val="fr-FR"/>
              </w:rPr>
              <w:t xml:space="preserve">Si plusieurs personnes ont des droits réels sur une même action ou </w:t>
            </w:r>
            <w:proofErr w:type="spellStart"/>
            <w:r w:rsidRPr="00561D1C">
              <w:rPr>
                <w:rFonts w:cs="Calibri"/>
                <w:bCs/>
                <w:iCs/>
                <w:lang w:val="fr-FR"/>
              </w:rPr>
              <w:t>part</w:t>
            </w:r>
            <w:proofErr w:type="spellEnd"/>
            <w:r w:rsidRPr="00561D1C">
              <w:rPr>
                <w:rFonts w:cs="Calibri"/>
                <w:bCs/>
                <w:iCs/>
                <w:lang w:val="fr-FR"/>
              </w:rPr>
              <w:t xml:space="preserve"> bénéficiaire, la société peut suspendre l'exercice du droit de vote, jusqu'à ce qu'une seule personne ait été désignée comme titulaire à son égard du droit de vote.</w:t>
            </w:r>
          </w:p>
          <w:p w14:paraId="40294122" w14:textId="77777777" w:rsidR="00812011" w:rsidRPr="00A527CC" w:rsidRDefault="00812011" w:rsidP="00542C09">
            <w:pPr>
              <w:spacing w:after="0" w:line="240" w:lineRule="auto"/>
              <w:jc w:val="both"/>
              <w:rPr>
                <w:rFonts w:cs="Calibri"/>
                <w:lang w:val="fr-FR"/>
              </w:rPr>
            </w:pPr>
          </w:p>
        </w:tc>
      </w:tr>
      <w:tr w:rsidR="000E575D" w:rsidRPr="007068B1" w14:paraId="07DFF033" w14:textId="77777777" w:rsidTr="007068B1">
        <w:trPr>
          <w:trHeight w:val="1625"/>
        </w:trPr>
        <w:tc>
          <w:tcPr>
            <w:tcW w:w="1980" w:type="dxa"/>
          </w:tcPr>
          <w:p w14:paraId="6D454F39" w14:textId="77777777" w:rsidR="000E575D" w:rsidRDefault="000E575D"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16FD2D34" w14:textId="020C48BE" w:rsidR="000E575D" w:rsidRPr="000505C8" w:rsidRDefault="000505C8" w:rsidP="000505C8">
            <w:pPr>
              <w:jc w:val="both"/>
              <w:rPr>
                <w:lang w:val="nl-NL"/>
              </w:rPr>
            </w:pPr>
            <w:r w:rsidRPr="00471F6B">
              <w:rPr>
                <w:lang w:val="nl-BE"/>
              </w:rPr>
              <w:t>Art. 7:</w:t>
            </w:r>
            <w:del w:id="0" w:author="Microsoft Office-gebruiker" w:date="2021-10-20T20:26:00Z">
              <w:r w:rsidRPr="00883D0D">
                <w:rPr>
                  <w:lang w:val="nl-BE"/>
                </w:rPr>
                <w:delText>22</w:delText>
              </w:r>
            </w:del>
            <w:ins w:id="1" w:author="Microsoft Office-gebruiker" w:date="2021-10-20T20:26:00Z">
              <w:r w:rsidRPr="00471F6B">
                <w:rPr>
                  <w:lang w:val="nl-BE"/>
                </w:rPr>
                <w:t>24</w:t>
              </w:r>
            </w:ins>
            <w:r w:rsidRPr="00471F6B">
              <w:rPr>
                <w:lang w:val="nl-BE"/>
              </w:rPr>
              <w:t xml:space="preserve">. Indien verscheidene personen zakelijke rechten hebben op eenzelfde </w:t>
            </w:r>
            <w:del w:id="2" w:author="Microsoft Office-gebruiker" w:date="2021-10-20T20:26:00Z">
              <w:r w:rsidRPr="00883D0D">
                <w:rPr>
                  <w:lang w:val="nl-BE"/>
                </w:rPr>
                <w:delText>effect</w:delText>
              </w:r>
            </w:del>
            <w:ins w:id="3" w:author="Microsoft Office-gebruiker" w:date="2021-10-20T20:26:00Z">
              <w:r w:rsidRPr="00471F6B">
                <w:rPr>
                  <w:lang w:val="nl-BE"/>
                </w:rPr>
                <w:t>aandeel of winstbewijs</w:t>
              </w:r>
            </w:ins>
            <w:r w:rsidRPr="00471F6B">
              <w:rPr>
                <w:lang w:val="nl-BE"/>
              </w:rPr>
              <w:t xml:space="preserve">, kan de vennootschap de uitoefening van </w:t>
            </w:r>
            <w:del w:id="4" w:author="Microsoft Office-gebruiker" w:date="2021-10-20T20:26:00Z">
              <w:r w:rsidRPr="00883D0D">
                <w:rPr>
                  <w:lang w:val="nl-BE"/>
                </w:rPr>
                <w:delText>de eraan verbonden rechten</w:delText>
              </w:r>
            </w:del>
            <w:ins w:id="5" w:author="Microsoft Office-gebruiker" w:date="2021-10-20T20:26:00Z">
              <w:r w:rsidRPr="00471F6B">
                <w:rPr>
                  <w:lang w:val="nl-BE"/>
                </w:rPr>
                <w:t>het stemrecht</w:t>
              </w:r>
            </w:ins>
            <w:r w:rsidRPr="00471F6B">
              <w:rPr>
                <w:lang w:val="nl-BE"/>
              </w:rPr>
              <w:t xml:space="preserve"> schorsen totdat een enkele persoon ten aanzien van de vennootschap als houder van het stemrecht is aangewezen.</w:t>
            </w:r>
          </w:p>
        </w:tc>
        <w:tc>
          <w:tcPr>
            <w:tcW w:w="5953" w:type="dxa"/>
            <w:shd w:val="clear" w:color="auto" w:fill="auto"/>
          </w:tcPr>
          <w:p w14:paraId="09BBE229" w14:textId="422A0BAE" w:rsidR="000E575D" w:rsidRPr="007068B1" w:rsidRDefault="007068B1" w:rsidP="007068B1">
            <w:pPr>
              <w:jc w:val="both"/>
              <w:rPr>
                <w:lang w:val="fr-FR"/>
              </w:rPr>
            </w:pPr>
            <w:r w:rsidRPr="00471F6B">
              <w:rPr>
                <w:lang w:val="fr-FR"/>
              </w:rPr>
              <w:t>Art. 7:</w:t>
            </w:r>
            <w:del w:id="6" w:author="Microsoft Office-gebruiker" w:date="2021-10-20T20:29:00Z">
              <w:r w:rsidRPr="00883D0D">
                <w:rPr>
                  <w:lang w:val="fr-FR"/>
                </w:rPr>
                <w:delText>22</w:delText>
              </w:r>
            </w:del>
            <w:ins w:id="7" w:author="Microsoft Office-gebruiker" w:date="2021-10-20T20:29:00Z">
              <w:r w:rsidRPr="00471F6B">
                <w:rPr>
                  <w:lang w:val="fr-FR"/>
                </w:rPr>
                <w:t>24</w:t>
              </w:r>
            </w:ins>
            <w:r w:rsidRPr="00471F6B">
              <w:rPr>
                <w:lang w:val="fr-FR"/>
              </w:rPr>
              <w:t xml:space="preserve">. Si plusieurs personnes ont des droits réels sur </w:t>
            </w:r>
            <w:del w:id="8" w:author="Microsoft Office-gebruiker" w:date="2021-10-20T20:29:00Z">
              <w:r w:rsidRPr="00883D0D">
                <w:rPr>
                  <w:lang w:val="fr-FR"/>
                </w:rPr>
                <w:delText>un</w:delText>
              </w:r>
            </w:del>
            <w:ins w:id="9" w:author="Microsoft Office-gebruiker" w:date="2021-10-20T20:29:00Z">
              <w:r w:rsidRPr="00471F6B">
                <w:rPr>
                  <w:lang w:val="fr-FR"/>
                </w:rPr>
                <w:t>une</w:t>
              </w:r>
            </w:ins>
            <w:r w:rsidRPr="00471F6B">
              <w:rPr>
                <w:lang w:val="fr-FR"/>
              </w:rPr>
              <w:t xml:space="preserve"> même </w:t>
            </w:r>
            <w:del w:id="10" w:author="Microsoft Office-gebruiker" w:date="2021-10-20T20:29:00Z">
              <w:r w:rsidRPr="00883D0D">
                <w:rPr>
                  <w:lang w:val="fr-FR"/>
                </w:rPr>
                <w:delText>titre</w:delText>
              </w:r>
            </w:del>
            <w:ins w:id="11" w:author="Microsoft Office-gebruiker" w:date="2021-10-20T20:29:00Z">
              <w:r w:rsidRPr="00471F6B">
                <w:rPr>
                  <w:lang w:val="fr-FR"/>
                </w:rPr>
                <w:t xml:space="preserve">action ou </w:t>
              </w:r>
              <w:proofErr w:type="spellStart"/>
              <w:r w:rsidRPr="00471F6B">
                <w:rPr>
                  <w:lang w:val="fr-FR"/>
                </w:rPr>
                <w:t>part</w:t>
              </w:r>
              <w:proofErr w:type="spellEnd"/>
              <w:r w:rsidRPr="00471F6B">
                <w:rPr>
                  <w:lang w:val="fr-FR"/>
                </w:rPr>
                <w:t xml:space="preserve"> bénéficiaire</w:t>
              </w:r>
            </w:ins>
            <w:r w:rsidRPr="00471F6B">
              <w:rPr>
                <w:lang w:val="fr-FR"/>
              </w:rPr>
              <w:t xml:space="preserve">, la société peut suspendre l'exercice </w:t>
            </w:r>
            <w:del w:id="12" w:author="Microsoft Office-gebruiker" w:date="2021-10-20T20:29:00Z">
              <w:r w:rsidRPr="00883D0D">
                <w:rPr>
                  <w:lang w:val="fr-FR"/>
                </w:rPr>
                <w:delText>des droits y afférents</w:delText>
              </w:r>
            </w:del>
            <w:ins w:id="13" w:author="Microsoft Office-gebruiker" w:date="2021-10-20T20:29:00Z">
              <w:r w:rsidRPr="00471F6B">
                <w:rPr>
                  <w:lang w:val="fr-FR"/>
                </w:rPr>
                <w:t>du droit de vote</w:t>
              </w:r>
            </w:ins>
            <w:r w:rsidRPr="00471F6B">
              <w:rPr>
                <w:lang w:val="fr-FR"/>
              </w:rPr>
              <w:t>, jusqu'à ce qu'une seule personne ait été désignée comme titulaire à son égard du droit de vote.</w:t>
            </w:r>
            <w:bookmarkStart w:id="14" w:name="_GoBack"/>
            <w:bookmarkEnd w:id="14"/>
          </w:p>
        </w:tc>
      </w:tr>
      <w:tr w:rsidR="000E575D" w:rsidRPr="000E575D" w14:paraId="4BD5018E" w14:textId="77777777" w:rsidTr="00471F6B">
        <w:trPr>
          <w:trHeight w:val="1086"/>
        </w:trPr>
        <w:tc>
          <w:tcPr>
            <w:tcW w:w="1980" w:type="dxa"/>
          </w:tcPr>
          <w:p w14:paraId="350E9BEF" w14:textId="77777777" w:rsidR="000E575D" w:rsidRPr="00883D0D" w:rsidRDefault="000E575D" w:rsidP="00542C09">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C80FDA3" w14:textId="77777777" w:rsidR="000E575D" w:rsidRPr="00883D0D" w:rsidRDefault="000E575D" w:rsidP="00542C09">
            <w:pPr>
              <w:spacing w:after="0" w:line="240" w:lineRule="auto"/>
              <w:jc w:val="both"/>
              <w:rPr>
                <w:lang w:val="nl-BE"/>
              </w:rPr>
            </w:pPr>
            <w:r w:rsidRPr="00883D0D">
              <w:rPr>
                <w:lang w:val="nl-BE"/>
              </w:rPr>
              <w:t>Art. 7:22. Indien verscheidene personen zakelijke rechten hebben op eenzelfde effect, kan de vennootschap de uitoefening van de eraan verbonden rechten schorsen totdat een enkele persoon ten aanzien van de vennootschap als houder van het stemrecht is aangewezen.</w:t>
            </w:r>
          </w:p>
        </w:tc>
        <w:tc>
          <w:tcPr>
            <w:tcW w:w="5953" w:type="dxa"/>
            <w:shd w:val="clear" w:color="auto" w:fill="auto"/>
          </w:tcPr>
          <w:p w14:paraId="4B8F1993" w14:textId="77777777" w:rsidR="000E575D" w:rsidRPr="00883D0D" w:rsidRDefault="000E575D" w:rsidP="00542C09">
            <w:pPr>
              <w:spacing w:after="0" w:line="240" w:lineRule="auto"/>
              <w:jc w:val="both"/>
              <w:rPr>
                <w:lang w:val="fr-FR"/>
              </w:rPr>
            </w:pPr>
            <w:r w:rsidRPr="00883D0D">
              <w:rPr>
                <w:lang w:val="fr-FR"/>
              </w:rPr>
              <w:t>Art. 7:22. Si plusieurs personnes ont des droits réels sur un même titre, la société peut suspendre l'exercice des droits y afférents, jusqu'à ce qu'une seule personne ait été désignée comme  titulaire à son égard du droit de vote.</w:t>
            </w:r>
          </w:p>
        </w:tc>
      </w:tr>
      <w:tr w:rsidR="000E575D" w:rsidRPr="00542C09" w14:paraId="332CC629" w14:textId="77777777" w:rsidTr="00471F6B">
        <w:trPr>
          <w:trHeight w:val="1086"/>
        </w:trPr>
        <w:tc>
          <w:tcPr>
            <w:tcW w:w="1980" w:type="dxa"/>
          </w:tcPr>
          <w:p w14:paraId="45A986AB" w14:textId="77777777" w:rsidR="000E575D" w:rsidRDefault="000E575D" w:rsidP="00542C09">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13A01F0C" w14:textId="77777777" w:rsidR="000E575D" w:rsidRPr="00561D1C" w:rsidRDefault="000E575D" w:rsidP="00542C09">
            <w:pPr>
              <w:spacing w:after="0" w:line="240" w:lineRule="auto"/>
              <w:jc w:val="both"/>
              <w:rPr>
                <w:lang w:val="nl-BE"/>
              </w:rPr>
            </w:pPr>
            <w:r w:rsidRPr="00561D1C">
              <w:rPr>
                <w:lang w:val="nl-BE"/>
              </w:rPr>
              <w:t xml:space="preserve">De ontworpen bepaling herneemt in wezen artikel 461 W.Venn. De regeling wordt beperkt tot aandelen en winstbewijzen, nu alleen zij stemrecht kunnen verlenen. </w:t>
            </w:r>
          </w:p>
          <w:p w14:paraId="00D3C96F" w14:textId="77777777" w:rsidR="000E575D" w:rsidRDefault="000E575D" w:rsidP="00542C09">
            <w:pPr>
              <w:spacing w:after="0" w:line="240" w:lineRule="auto"/>
              <w:jc w:val="both"/>
              <w:rPr>
                <w:lang w:val="nl-BE"/>
              </w:rPr>
            </w:pPr>
          </w:p>
          <w:p w14:paraId="57E35208" w14:textId="77777777" w:rsidR="000E575D" w:rsidRPr="00542C09" w:rsidRDefault="000E575D" w:rsidP="00542C09">
            <w:pPr>
              <w:spacing w:after="0" w:line="240" w:lineRule="auto"/>
              <w:jc w:val="both"/>
              <w:rPr>
                <w:bCs/>
                <w:iCs/>
                <w:lang w:val="nl-NL"/>
              </w:rPr>
            </w:pPr>
            <w:r w:rsidRPr="00561D1C">
              <w:rPr>
                <w:lang w:val="nl-BE"/>
              </w:rPr>
              <w:t xml:space="preserve">De verwijzing naar “verscheidene eigenaars” in het artikel wordt vervangen door een verwijzing naar de situatie waarin “verscheidene personen zakelijke rechten hebben op eenzelfde aandeel of winstbewijs”. Dit is in overeenstemming met de heersende ruime interpretatie van het bestaande artikel. De ontworpen tekst verduidelijkt dat hij toepassing vindt op alle gevallen waar meerdere personen het geheel of een deel van het eigendomsrecht op de aandelen bezitten: onverdeeldheid, vruchtgebruik, blote eigendom, aandelen die tot het </w:t>
            </w:r>
            <w:r w:rsidRPr="00561D1C">
              <w:rPr>
                <w:lang w:val="nl-BE"/>
              </w:rPr>
              <w:lastRenderedPageBreak/>
              <w:t xml:space="preserve">gemeenschappelijk huwelijksvermogen behoren. Hij heeft ook betrekking op zakelijke (zekerheidsrechten) zoals het pandrecht, nu de pandakte het stemrecht aan de pandhoudende schuldeiser of aan de debiteur kan geven. In al deze gevallen kan de vennootschap de uitoefening van de stemrechten schorsen tot een enkele persoon als </w:t>
            </w:r>
            <w:r w:rsidRPr="00561D1C">
              <w:rPr>
                <w:i/>
                <w:lang w:val="nl-BE"/>
              </w:rPr>
              <w:t xml:space="preserve">houder van het stemrecht </w:t>
            </w:r>
            <w:r w:rsidRPr="00561D1C">
              <w:rPr>
                <w:lang w:val="nl-BE"/>
              </w:rPr>
              <w:t>is aangewezen. Het leek niet opportuun om, zoals de Raad van State suggereert,  in de wet zelf te bepalen wie het stemrecht kan uitoefenen in situaties van pand op aandelen: de partijen zelf kunnen dit bij overeenkomst regelen, aangepast aan de eigenheid van elke situatie. Er wordt wel een regeling opgenomen voor stemrecht bij vruchtgebruik in artikel 7:26, zoals de Raad van State voorstelt.</w:t>
            </w:r>
          </w:p>
        </w:tc>
        <w:tc>
          <w:tcPr>
            <w:tcW w:w="5953" w:type="dxa"/>
            <w:shd w:val="clear" w:color="auto" w:fill="auto"/>
          </w:tcPr>
          <w:p w14:paraId="46CEEB47" w14:textId="77777777" w:rsidR="000E575D" w:rsidRPr="00FD4575" w:rsidRDefault="000E575D" w:rsidP="00542C09">
            <w:pPr>
              <w:spacing w:after="0" w:line="240" w:lineRule="auto"/>
              <w:jc w:val="both"/>
              <w:rPr>
                <w:lang w:val="fr-FR"/>
              </w:rPr>
            </w:pPr>
            <w:r w:rsidRPr="00561D1C">
              <w:rPr>
                <w:lang w:val="fr-BE"/>
              </w:rPr>
              <w:lastRenderedPageBreak/>
              <w:t>La disposition en projet reprend en substance l’article 461 C. Soc. La règle est limitée aux actions et parts bénéficiaires, parce que seuls ces titres peuvent conférer le droit de vote.</w:t>
            </w:r>
          </w:p>
          <w:p w14:paraId="0B24D717" w14:textId="77777777" w:rsidR="000E575D" w:rsidRDefault="000E575D" w:rsidP="00542C09">
            <w:pPr>
              <w:spacing w:after="0" w:line="240" w:lineRule="auto"/>
              <w:jc w:val="both"/>
              <w:rPr>
                <w:lang w:val="fr-BE"/>
              </w:rPr>
            </w:pPr>
          </w:p>
          <w:p w14:paraId="1F5C4E19" w14:textId="77777777" w:rsidR="000E575D" w:rsidRPr="00561D1C" w:rsidRDefault="000E575D" w:rsidP="00542C09">
            <w:pPr>
              <w:spacing w:after="0" w:line="240" w:lineRule="auto"/>
              <w:jc w:val="both"/>
              <w:rPr>
                <w:lang w:val="fr-BE"/>
              </w:rPr>
            </w:pPr>
            <w:r w:rsidRPr="00561D1C">
              <w:rPr>
                <w:lang w:val="fr-BE"/>
              </w:rPr>
              <w:t xml:space="preserve">Le renvoi dans cet article à « plusieurs propriétaires » est remplacé par un renvoi à la situation où « plusieurs personnes ont des droits réels sur une même action  ou </w:t>
            </w:r>
            <w:proofErr w:type="spellStart"/>
            <w:r w:rsidRPr="00561D1C">
              <w:rPr>
                <w:lang w:val="fr-BE"/>
              </w:rPr>
              <w:t>part</w:t>
            </w:r>
            <w:proofErr w:type="spellEnd"/>
            <w:r w:rsidRPr="00561D1C">
              <w:rPr>
                <w:lang w:val="fr-BE"/>
              </w:rPr>
              <w:t xml:space="preserve"> bénéficiaire» conformément à l’interprétation large généralement admise de l'article existant. Le texte en projet précise qu’il s’applique dans tous les cas où plusieurs personnes possèdent la totalité ou une partie du droit de propriété : indivision, usufruit, nue-propriété, actions qui appartiennent au patrimoine commun. La règle concerne également les droits réels (sûretés réelles) comme le </w:t>
            </w:r>
            <w:r w:rsidRPr="00561D1C">
              <w:rPr>
                <w:lang w:val="fr-BE"/>
              </w:rPr>
              <w:lastRenderedPageBreak/>
              <w:t xml:space="preserve">gage, dès lors que l’acte de gage peut, en pareil cas, réserver le droit de vote au créancier gagiste ou au débiteur. Dans tous ces cas, la société peut suspendre les droits de vote attachés aux actions concernées jusqu’à ce qu’une seule personne soit désignée en tant que titulaire du droit de vote. Il n’est pas apparu opportun, comme le Conseil d’État le suggère, de préciser dans la loi même qui peut exercer le droit de vote dans des situations de gage sur actions : les parties mêmes peuvent régler cela contractuellement, de manière adaptée à la spécificité de chaque situation. En revanche, un article 7:26 a été introduit pour </w:t>
            </w:r>
            <w:proofErr w:type="spellStart"/>
            <w:r w:rsidRPr="00561D1C">
              <w:rPr>
                <w:lang w:val="fr-BE"/>
              </w:rPr>
              <w:t>règler</w:t>
            </w:r>
            <w:proofErr w:type="spellEnd"/>
            <w:r w:rsidRPr="00561D1C">
              <w:rPr>
                <w:lang w:val="fr-BE"/>
              </w:rPr>
              <w:t xml:space="preserve"> la situation du droit de vote en cas d’usufruit.</w:t>
            </w:r>
          </w:p>
        </w:tc>
      </w:tr>
      <w:tr w:rsidR="000E575D" w:rsidRPr="00542C09" w14:paraId="315FE059" w14:textId="77777777" w:rsidTr="00471F6B">
        <w:trPr>
          <w:trHeight w:val="1086"/>
        </w:trPr>
        <w:tc>
          <w:tcPr>
            <w:tcW w:w="1980" w:type="dxa"/>
          </w:tcPr>
          <w:p w14:paraId="57BAEBC2" w14:textId="77777777" w:rsidR="000E575D" w:rsidRDefault="000E575D" w:rsidP="00542C09">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38F35BA7" w14:textId="77777777" w:rsidR="000E575D" w:rsidRPr="00FD4575" w:rsidRDefault="000E575D" w:rsidP="00542C09">
            <w:pPr>
              <w:spacing w:after="0" w:line="240" w:lineRule="auto"/>
              <w:jc w:val="both"/>
              <w:rPr>
                <w:lang w:val="nl-BE"/>
              </w:rPr>
            </w:pPr>
            <w:r w:rsidRPr="00FD4575">
              <w:rPr>
                <w:lang w:val="nl-BE"/>
              </w:rPr>
              <w:t>Het ontworpen artikel 7:22 bepaalt:</w:t>
            </w:r>
          </w:p>
          <w:p w14:paraId="6B0FD7E7" w14:textId="77777777" w:rsidR="000E575D" w:rsidRPr="00FD4575" w:rsidRDefault="000E575D" w:rsidP="00542C09">
            <w:pPr>
              <w:spacing w:after="0" w:line="240" w:lineRule="auto"/>
              <w:jc w:val="both"/>
              <w:rPr>
                <w:lang w:val="nl-BE"/>
              </w:rPr>
            </w:pPr>
          </w:p>
          <w:p w14:paraId="59DAA8A3" w14:textId="77777777" w:rsidR="000E575D" w:rsidRPr="00FD4575" w:rsidRDefault="000E575D" w:rsidP="00542C09">
            <w:pPr>
              <w:spacing w:after="0" w:line="240" w:lineRule="auto"/>
              <w:jc w:val="both"/>
              <w:rPr>
                <w:lang w:val="nl-BE"/>
              </w:rPr>
            </w:pPr>
            <w:r w:rsidRPr="00FD4575">
              <w:rPr>
                <w:lang w:val="nl-BE"/>
              </w:rPr>
              <w:t>“Indien verscheidene personen zakelijke rechten hebben op eenzelfde effect, kan de vennootschap de uitoefening van de eraan verbonden rechten schorsen totdat een enkele persoon ten aanzien van de vennootschap als houder van het stemrecht is aangewezen”.</w:t>
            </w:r>
          </w:p>
          <w:p w14:paraId="34844876" w14:textId="77777777" w:rsidR="000E575D" w:rsidRPr="00FD4575" w:rsidRDefault="000E575D" w:rsidP="00542C09">
            <w:pPr>
              <w:spacing w:after="0" w:line="240" w:lineRule="auto"/>
              <w:jc w:val="both"/>
              <w:rPr>
                <w:lang w:val="nl-BE"/>
              </w:rPr>
            </w:pPr>
          </w:p>
          <w:p w14:paraId="51DCA923" w14:textId="77777777" w:rsidR="000E575D" w:rsidRPr="00FD4575" w:rsidRDefault="000E575D" w:rsidP="00542C09">
            <w:pPr>
              <w:spacing w:after="0" w:line="240" w:lineRule="auto"/>
              <w:jc w:val="both"/>
              <w:rPr>
                <w:lang w:val="nl-BE"/>
              </w:rPr>
            </w:pPr>
            <w:r w:rsidRPr="00FD4575">
              <w:rPr>
                <w:lang w:val="nl-BE"/>
              </w:rPr>
              <w:t>De stellers van het voorontwerp worden verzocht na te gaan of het niet opportuun is een afwijkende regel in te voeren die omwille van de billijkheid geldt voor situaties als, onder meer, vruchtgebruik en pand.</w:t>
            </w:r>
          </w:p>
          <w:p w14:paraId="19518E7E" w14:textId="77777777" w:rsidR="000E575D" w:rsidRPr="00FD4575" w:rsidRDefault="000E575D" w:rsidP="00542C09">
            <w:pPr>
              <w:spacing w:after="0" w:line="240" w:lineRule="auto"/>
              <w:jc w:val="both"/>
              <w:rPr>
                <w:lang w:val="nl-BE"/>
              </w:rPr>
            </w:pPr>
          </w:p>
          <w:p w14:paraId="68D42507" w14:textId="77777777" w:rsidR="000E575D" w:rsidRPr="00FD4575" w:rsidRDefault="000E575D" w:rsidP="00542C09">
            <w:pPr>
              <w:spacing w:after="0" w:line="240" w:lineRule="auto"/>
              <w:jc w:val="both"/>
              <w:rPr>
                <w:lang w:val="nl-BE"/>
              </w:rPr>
            </w:pPr>
            <w:r w:rsidRPr="00FD4575">
              <w:rPr>
                <w:lang w:val="nl-BE"/>
              </w:rPr>
              <w:t>Wat dat betreft, wordt verwezen naar artikel 5:24 en naar de opmerking die daarbij is gemaakt.</w:t>
            </w:r>
          </w:p>
        </w:tc>
        <w:tc>
          <w:tcPr>
            <w:tcW w:w="5953" w:type="dxa"/>
            <w:shd w:val="clear" w:color="auto" w:fill="auto"/>
          </w:tcPr>
          <w:p w14:paraId="2D9D72A8" w14:textId="77777777" w:rsidR="000E575D" w:rsidRPr="00FD4575" w:rsidRDefault="000E575D" w:rsidP="00542C09">
            <w:pPr>
              <w:spacing w:after="0" w:line="240" w:lineRule="auto"/>
              <w:jc w:val="both"/>
              <w:rPr>
                <w:lang w:val="fr-FR"/>
              </w:rPr>
            </w:pPr>
            <w:r w:rsidRPr="00FD4575">
              <w:rPr>
                <w:lang w:val="fr-FR"/>
              </w:rPr>
              <w:t>Selon l’article 7:22 en projet,</w:t>
            </w:r>
          </w:p>
          <w:p w14:paraId="0C446D34" w14:textId="77777777" w:rsidR="000E575D" w:rsidRPr="00FD4575" w:rsidRDefault="000E575D" w:rsidP="00542C09">
            <w:pPr>
              <w:spacing w:after="0" w:line="240" w:lineRule="auto"/>
              <w:jc w:val="both"/>
              <w:rPr>
                <w:lang w:val="fr-FR"/>
              </w:rPr>
            </w:pPr>
          </w:p>
          <w:p w14:paraId="381E1305" w14:textId="77777777" w:rsidR="000E575D" w:rsidRPr="00FD4575" w:rsidRDefault="000E575D" w:rsidP="00542C09">
            <w:pPr>
              <w:spacing w:after="0" w:line="240" w:lineRule="auto"/>
              <w:jc w:val="both"/>
              <w:rPr>
                <w:lang w:val="fr-FR"/>
              </w:rPr>
            </w:pPr>
            <w:r w:rsidRPr="00FD4575">
              <w:rPr>
                <w:lang w:val="fr-FR"/>
              </w:rPr>
              <w:t>« Si plusieurs personnes ont des droits réels sur un même titre, la société peut suspendre l’exercice des droits y afférents jusqu’à ce qu’une seule personne ait été désignée comme titulaire à son égard du droit de vote ».</w:t>
            </w:r>
          </w:p>
          <w:p w14:paraId="74CC8A51" w14:textId="77777777" w:rsidR="000E575D" w:rsidRPr="00FD4575" w:rsidRDefault="000E575D" w:rsidP="00542C09">
            <w:pPr>
              <w:spacing w:after="0" w:line="240" w:lineRule="auto"/>
              <w:jc w:val="both"/>
              <w:rPr>
                <w:lang w:val="fr-FR"/>
              </w:rPr>
            </w:pPr>
          </w:p>
          <w:p w14:paraId="65E34E05" w14:textId="77777777" w:rsidR="000E575D" w:rsidRPr="00FD4575" w:rsidRDefault="000E575D" w:rsidP="00542C09">
            <w:pPr>
              <w:spacing w:after="0" w:line="240" w:lineRule="auto"/>
              <w:jc w:val="both"/>
              <w:rPr>
                <w:lang w:val="fr-FR"/>
              </w:rPr>
            </w:pPr>
            <w:r w:rsidRPr="00FD4575">
              <w:rPr>
                <w:lang w:val="fr-FR"/>
              </w:rPr>
              <w:t>Les auteurs de l’avant</w:t>
            </w:r>
            <w:r w:rsidRPr="00FD4575">
              <w:rPr>
                <w:lang w:val="fr-FR"/>
              </w:rPr>
              <w:noBreakHyphen/>
              <w:t>projet sont invités à réfléchir à l’opportunité d’instaurer une règle dérogatoire applicable, pour des raisons d’équité, à des situations telles que celles, notamment, de l’usufruit et du gage.</w:t>
            </w:r>
          </w:p>
          <w:p w14:paraId="5C34F4C0" w14:textId="77777777" w:rsidR="000E575D" w:rsidRPr="00FD4575" w:rsidRDefault="000E575D" w:rsidP="00542C09">
            <w:pPr>
              <w:spacing w:after="0" w:line="240" w:lineRule="auto"/>
              <w:jc w:val="both"/>
              <w:rPr>
                <w:lang w:val="fr-FR"/>
              </w:rPr>
            </w:pPr>
          </w:p>
          <w:p w14:paraId="769E48E8" w14:textId="77777777" w:rsidR="000E575D" w:rsidRPr="00FD4575" w:rsidRDefault="000E575D" w:rsidP="00542C09">
            <w:pPr>
              <w:spacing w:after="0" w:line="240" w:lineRule="auto"/>
              <w:jc w:val="both"/>
              <w:rPr>
                <w:lang w:val="fr-FR"/>
              </w:rPr>
            </w:pPr>
            <w:r w:rsidRPr="00FD4575">
              <w:rPr>
                <w:lang w:val="fr-FR"/>
              </w:rPr>
              <w:t>Il est renvoyé sur ce point à l’article 5:24 et à l’observation formulée sous cette disposition.</w:t>
            </w:r>
          </w:p>
        </w:tc>
      </w:tr>
    </w:tbl>
    <w:p w14:paraId="462E77BF" w14:textId="77777777" w:rsidR="000D42B6" w:rsidRPr="00471F6B" w:rsidRDefault="000D42B6">
      <w:pPr>
        <w:rPr>
          <w:lang w:val="fr-FR"/>
        </w:rPr>
      </w:pPr>
    </w:p>
    <w:sectPr w:rsidR="000D42B6" w:rsidRPr="00471F6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DF775" w14:textId="77777777" w:rsidR="00475D16" w:rsidRDefault="00475D16" w:rsidP="000D42B6">
      <w:pPr>
        <w:spacing w:after="0" w:line="240" w:lineRule="auto"/>
      </w:pPr>
      <w:r>
        <w:separator/>
      </w:r>
    </w:p>
  </w:endnote>
  <w:endnote w:type="continuationSeparator" w:id="0">
    <w:p w14:paraId="56271038" w14:textId="77777777" w:rsidR="00475D16" w:rsidRDefault="00475D1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E5A7" w14:textId="77777777" w:rsidR="00475D16" w:rsidRDefault="00475D16" w:rsidP="000D42B6">
      <w:pPr>
        <w:spacing w:after="0" w:line="240" w:lineRule="auto"/>
      </w:pPr>
      <w:r>
        <w:separator/>
      </w:r>
    </w:p>
  </w:footnote>
  <w:footnote w:type="continuationSeparator" w:id="0">
    <w:p w14:paraId="36C61889" w14:textId="77777777" w:rsidR="00475D16" w:rsidRDefault="00475D1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505C8"/>
    <w:rsid w:val="000D42B6"/>
    <w:rsid w:val="000E575D"/>
    <w:rsid w:val="000F6EBF"/>
    <w:rsid w:val="001777AA"/>
    <w:rsid w:val="00195659"/>
    <w:rsid w:val="001B7299"/>
    <w:rsid w:val="00200CB2"/>
    <w:rsid w:val="003050EA"/>
    <w:rsid w:val="0036539D"/>
    <w:rsid w:val="00393BDA"/>
    <w:rsid w:val="003D55CF"/>
    <w:rsid w:val="00417C7D"/>
    <w:rsid w:val="00427696"/>
    <w:rsid w:val="00471F6B"/>
    <w:rsid w:val="00475D16"/>
    <w:rsid w:val="004A303D"/>
    <w:rsid w:val="00512C24"/>
    <w:rsid w:val="00542C09"/>
    <w:rsid w:val="00552278"/>
    <w:rsid w:val="00560224"/>
    <w:rsid w:val="005B33B1"/>
    <w:rsid w:val="005B3DDA"/>
    <w:rsid w:val="005E53AE"/>
    <w:rsid w:val="00602363"/>
    <w:rsid w:val="00697A0E"/>
    <w:rsid w:val="007068B1"/>
    <w:rsid w:val="007A6A5E"/>
    <w:rsid w:val="007E000B"/>
    <w:rsid w:val="00812011"/>
    <w:rsid w:val="008A299A"/>
    <w:rsid w:val="009202F4"/>
    <w:rsid w:val="00926C96"/>
    <w:rsid w:val="00995A4F"/>
    <w:rsid w:val="00A31998"/>
    <w:rsid w:val="00A46D88"/>
    <w:rsid w:val="00A961CC"/>
    <w:rsid w:val="00B0539A"/>
    <w:rsid w:val="00BB0F3C"/>
    <w:rsid w:val="00C97319"/>
    <w:rsid w:val="00CB4E93"/>
    <w:rsid w:val="00CF7A49"/>
    <w:rsid w:val="00D33F08"/>
    <w:rsid w:val="00D417F8"/>
    <w:rsid w:val="00DC54F2"/>
    <w:rsid w:val="00E151F2"/>
    <w:rsid w:val="00E17723"/>
    <w:rsid w:val="00E5159B"/>
    <w:rsid w:val="00FA09D7"/>
    <w:rsid w:val="00FD45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63F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1260-83EB-2C40-8CCB-D91CB312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4808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35</cp:revision>
  <dcterms:created xsi:type="dcterms:W3CDTF">2019-10-18T10:25:00Z</dcterms:created>
  <dcterms:modified xsi:type="dcterms:W3CDTF">2021-10-20T18:29:00Z</dcterms:modified>
</cp:coreProperties>
</file>