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77DE28D" w14:textId="77777777" w:rsidTr="00E17723">
        <w:tc>
          <w:tcPr>
            <w:tcW w:w="1980" w:type="dxa"/>
          </w:tcPr>
          <w:p w14:paraId="4025D4DB" w14:textId="77777777" w:rsidR="000D42B6" w:rsidRPr="00B07AC9" w:rsidRDefault="000D42B6" w:rsidP="0074387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26C96">
              <w:rPr>
                <w:b/>
                <w:sz w:val="32"/>
                <w:szCs w:val="32"/>
                <w:lang w:val="nl-BE"/>
              </w:rPr>
              <w:t>2</w:t>
            </w:r>
            <w:r w:rsidR="00124FFC">
              <w:rPr>
                <w:b/>
                <w:sz w:val="32"/>
                <w:szCs w:val="32"/>
                <w:lang w:val="nl-BE"/>
              </w:rPr>
              <w:t>5</w:t>
            </w:r>
          </w:p>
        </w:tc>
        <w:tc>
          <w:tcPr>
            <w:tcW w:w="11765" w:type="dxa"/>
            <w:gridSpan w:val="2"/>
            <w:shd w:val="clear" w:color="auto" w:fill="auto"/>
          </w:tcPr>
          <w:p w14:paraId="0663A357" w14:textId="77777777" w:rsidR="000D42B6" w:rsidRPr="00382324" w:rsidRDefault="000D42B6" w:rsidP="00743873">
            <w:pPr>
              <w:rPr>
                <w:rFonts w:asciiTheme="majorHAnsi" w:eastAsiaTheme="majorEastAsia" w:hAnsiTheme="majorHAnsi" w:cstheme="majorBidi"/>
                <w:b/>
                <w:bCs/>
                <w:color w:val="2E74B5" w:themeColor="accent1" w:themeShade="BF"/>
                <w:sz w:val="32"/>
                <w:szCs w:val="28"/>
                <w:lang w:val="nl-BE"/>
              </w:rPr>
            </w:pPr>
          </w:p>
        </w:tc>
      </w:tr>
      <w:tr w:rsidR="005B33B1" w:rsidRPr="002A763A" w14:paraId="77E118A3" w14:textId="77777777" w:rsidTr="00E17723">
        <w:tc>
          <w:tcPr>
            <w:tcW w:w="1980" w:type="dxa"/>
          </w:tcPr>
          <w:p w14:paraId="7368F98F" w14:textId="77777777" w:rsidR="005B33B1" w:rsidRPr="00B07AC9" w:rsidRDefault="005B33B1" w:rsidP="00743873">
            <w:pPr>
              <w:rPr>
                <w:b/>
                <w:sz w:val="32"/>
                <w:szCs w:val="32"/>
                <w:lang w:val="nl-BE"/>
              </w:rPr>
            </w:pPr>
          </w:p>
        </w:tc>
        <w:tc>
          <w:tcPr>
            <w:tcW w:w="11765" w:type="dxa"/>
            <w:gridSpan w:val="2"/>
            <w:shd w:val="clear" w:color="auto" w:fill="auto"/>
          </w:tcPr>
          <w:p w14:paraId="1D3AE7F3" w14:textId="77777777" w:rsidR="005B33B1" w:rsidRPr="00382324" w:rsidRDefault="005B33B1" w:rsidP="00743873">
            <w:pPr>
              <w:rPr>
                <w:rFonts w:asciiTheme="majorHAnsi" w:eastAsiaTheme="majorEastAsia" w:hAnsiTheme="majorHAnsi" w:cstheme="majorBidi"/>
                <w:b/>
                <w:bCs/>
                <w:color w:val="2E74B5" w:themeColor="accent1" w:themeShade="BF"/>
                <w:sz w:val="32"/>
                <w:szCs w:val="28"/>
                <w:lang w:val="nl-BE"/>
              </w:rPr>
            </w:pPr>
          </w:p>
        </w:tc>
      </w:tr>
      <w:tr w:rsidR="00124FFC" w:rsidRPr="001908C1" w14:paraId="73F14945" w14:textId="77777777" w:rsidTr="00743873">
        <w:trPr>
          <w:trHeight w:val="1086"/>
        </w:trPr>
        <w:tc>
          <w:tcPr>
            <w:tcW w:w="1980" w:type="dxa"/>
          </w:tcPr>
          <w:p w14:paraId="117B0A5F" w14:textId="77777777" w:rsidR="00124FFC" w:rsidRDefault="00124FFC" w:rsidP="00743873">
            <w:pPr>
              <w:spacing w:after="0" w:line="240" w:lineRule="auto"/>
              <w:jc w:val="both"/>
              <w:rPr>
                <w:rFonts w:cs="Calibri"/>
                <w:lang w:val="nl-BE"/>
              </w:rPr>
            </w:pPr>
            <w:r>
              <w:rPr>
                <w:rFonts w:cs="Calibri"/>
                <w:lang w:val="nl-BE"/>
              </w:rPr>
              <w:t>WVV</w:t>
            </w:r>
          </w:p>
        </w:tc>
        <w:tc>
          <w:tcPr>
            <w:tcW w:w="5812" w:type="dxa"/>
            <w:shd w:val="clear" w:color="auto" w:fill="auto"/>
          </w:tcPr>
          <w:p w14:paraId="38499A61" w14:textId="77777777" w:rsidR="00124FFC" w:rsidRPr="00B73889" w:rsidRDefault="00124FFC" w:rsidP="00743873">
            <w:pPr>
              <w:spacing w:after="0" w:line="240" w:lineRule="auto"/>
              <w:jc w:val="both"/>
              <w:rPr>
                <w:rFonts w:cs="Calibri"/>
                <w:lang w:val="nl-BE"/>
              </w:rPr>
            </w:pPr>
            <w:r w:rsidRPr="00BC764F">
              <w:rPr>
                <w:rFonts w:cs="Calibri"/>
                <w:lang w:val="nl-BE"/>
              </w:rPr>
              <w:t>In geval van overlijden van de enige aandeelhouder worden, tenzij de statuten anders bepalen, de aan de aandelen verbonden rechten uitgeoefend door de regelmatig in het bezit getreden of in het bezit gestelde erfgenamen of legatarissen, naar evenredigheid van hun rechten in de nalatenschap, en dit tot op de dag van de verdeling van de aandelen of tot de afgifte van de legaten met betrekking tot deze aandelen.</w:t>
            </w:r>
          </w:p>
        </w:tc>
        <w:tc>
          <w:tcPr>
            <w:tcW w:w="5953" w:type="dxa"/>
            <w:shd w:val="clear" w:color="auto" w:fill="auto"/>
          </w:tcPr>
          <w:p w14:paraId="7AB45A18" w14:textId="77777777" w:rsidR="00124FFC" w:rsidRPr="00A527CC" w:rsidRDefault="00292A96" w:rsidP="00743873">
            <w:pPr>
              <w:spacing w:after="0" w:line="240" w:lineRule="auto"/>
              <w:jc w:val="both"/>
              <w:rPr>
                <w:rFonts w:cs="Calibri"/>
                <w:lang w:val="fr-FR"/>
              </w:rPr>
            </w:pPr>
            <w:r>
              <w:rPr>
                <w:rFonts w:cs="Calibri"/>
                <w:lang w:val="fr-FR"/>
              </w:rPr>
              <w:t>En cas de décès de l'</w:t>
            </w:r>
            <w:r w:rsidR="00124FFC" w:rsidRPr="00BC764F">
              <w:rPr>
                <w:rFonts w:cs="Calibri"/>
                <w:lang w:val="fr-FR"/>
              </w:rPr>
              <w:t>actionnaire unique, sauf dispositions statutaire contraires, les droits afférents aux actions sont exercés par les héritiers et légataires régulièrement saisis ou envoyés en possession, proportionnellement à leurs droits dans la succession, jusqu'au jour du partage desdites actions ou jusqu'à la délivrance des legs portant sur celles-ci.</w:t>
            </w:r>
          </w:p>
        </w:tc>
      </w:tr>
      <w:tr w:rsidR="00292A96" w:rsidRPr="001908C1" w14:paraId="30B7A559" w14:textId="77777777" w:rsidTr="00743873">
        <w:trPr>
          <w:trHeight w:val="1086"/>
        </w:trPr>
        <w:tc>
          <w:tcPr>
            <w:tcW w:w="1980" w:type="dxa"/>
          </w:tcPr>
          <w:p w14:paraId="0A94D454" w14:textId="77777777" w:rsidR="00292A96" w:rsidRDefault="00292A96" w:rsidP="002A31B3">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0AA26286" w14:textId="77777777" w:rsidR="00292A96" w:rsidRPr="00DD2148" w:rsidRDefault="00292A96" w:rsidP="002A31B3">
            <w:pPr>
              <w:spacing w:after="0" w:line="240" w:lineRule="auto"/>
              <w:jc w:val="both"/>
              <w:rPr>
                <w:rFonts w:cs="Calibri"/>
                <w:lang w:val="nl-BE"/>
              </w:rPr>
            </w:pPr>
            <w:r w:rsidRPr="00DD2148">
              <w:rPr>
                <w:rFonts w:cs="Calibri"/>
                <w:lang w:val="nl-BE"/>
              </w:rPr>
              <w:t>Art. 7:25. In geval van overlijden van de enige aandeelhouder worden, tenzij de statuten anders bepalen, de aan de aandelen verbonden rechten uitgeoefend door de regelmatig in het bezit getreden of in het bezit gestelde erfgenamen of legatarissen, naar evenredigheid van hun rechten in de nalatenschap, en dit tot op de dag van de verdeling van de aandelen of tot de afgifte van de legaten met betrekking tot deze aandelen.</w:t>
            </w:r>
          </w:p>
        </w:tc>
        <w:tc>
          <w:tcPr>
            <w:tcW w:w="5953" w:type="dxa"/>
            <w:shd w:val="clear" w:color="auto" w:fill="auto"/>
          </w:tcPr>
          <w:p w14:paraId="12AA7783" w14:textId="77777777" w:rsidR="00292A96" w:rsidRPr="00DD2148" w:rsidRDefault="00292A96" w:rsidP="002A31B3">
            <w:pPr>
              <w:spacing w:after="0" w:line="240" w:lineRule="auto"/>
              <w:jc w:val="both"/>
              <w:rPr>
                <w:rFonts w:cs="Calibri"/>
                <w:lang w:val="fr-FR"/>
              </w:rPr>
            </w:pPr>
            <w:r>
              <w:rPr>
                <w:rFonts w:cs="Calibri"/>
                <w:lang w:val="fr-FR"/>
              </w:rPr>
              <w:t xml:space="preserve">Art. </w:t>
            </w:r>
            <w:proofErr w:type="gramStart"/>
            <w:r>
              <w:rPr>
                <w:rFonts w:cs="Calibri"/>
                <w:lang w:val="fr-FR"/>
              </w:rPr>
              <w:t>7:</w:t>
            </w:r>
            <w:proofErr w:type="gramEnd"/>
            <w:r>
              <w:rPr>
                <w:rFonts w:cs="Calibri"/>
                <w:lang w:val="fr-FR"/>
              </w:rPr>
              <w:t>25. En cas de décès de l'</w:t>
            </w:r>
            <w:bookmarkStart w:id="0" w:name="_GoBack"/>
            <w:bookmarkEnd w:id="0"/>
            <w:r w:rsidRPr="00DD2148">
              <w:rPr>
                <w:rFonts w:cs="Calibri"/>
                <w:lang w:val="fr-FR"/>
              </w:rPr>
              <w:t>actionnaire unique, sauf dispositions statutaire contraires, les droits afférents aux actions sont exercés par les héritiers et légataires régulièrement saisis ou envoyés en possession, proportionnellement à leurs droits dans la succession, jusqu'au jour du partage desdites actions ou jusqu'à la délivrance des legs portant sur celles-ci.</w:t>
            </w:r>
          </w:p>
        </w:tc>
      </w:tr>
      <w:tr w:rsidR="00292A96" w:rsidRPr="00F602B3" w14:paraId="3E36B05F" w14:textId="77777777" w:rsidTr="00B015DC">
        <w:trPr>
          <w:trHeight w:val="319"/>
        </w:trPr>
        <w:tc>
          <w:tcPr>
            <w:tcW w:w="1980" w:type="dxa"/>
          </w:tcPr>
          <w:p w14:paraId="104F091F" w14:textId="77777777" w:rsidR="00292A96" w:rsidRPr="00F602B3" w:rsidRDefault="00292A96" w:rsidP="00743873">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431DB02C" w14:textId="77777777" w:rsidR="00292A96" w:rsidRPr="00F602B3" w:rsidRDefault="00292A96" w:rsidP="00743873">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53" w:type="dxa"/>
            <w:shd w:val="clear" w:color="auto" w:fill="auto"/>
          </w:tcPr>
          <w:p w14:paraId="64FC4D84" w14:textId="77777777" w:rsidR="00292A96" w:rsidRPr="00BC764F" w:rsidRDefault="00292A96" w:rsidP="00743873">
            <w:pPr>
              <w:spacing w:after="0" w:line="240" w:lineRule="auto"/>
              <w:jc w:val="both"/>
              <w:rPr>
                <w:rFonts w:cs="Calibri"/>
                <w:lang w:val="fr-FR"/>
              </w:rPr>
            </w:pPr>
            <w:r>
              <w:rPr>
                <w:rFonts w:cs="Calibri"/>
                <w:lang w:val="fr-FR"/>
              </w:rPr>
              <w:t>Pas d’article.</w:t>
            </w:r>
          </w:p>
        </w:tc>
      </w:tr>
      <w:tr w:rsidR="00292A96" w:rsidRPr="001908C1" w14:paraId="11E3E2CB" w14:textId="77777777" w:rsidTr="00743873">
        <w:trPr>
          <w:trHeight w:val="497"/>
        </w:trPr>
        <w:tc>
          <w:tcPr>
            <w:tcW w:w="1980" w:type="dxa"/>
          </w:tcPr>
          <w:p w14:paraId="53190A2C" w14:textId="77777777" w:rsidR="00292A96" w:rsidRDefault="00292A96" w:rsidP="00743873">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02A815C7" w14:textId="77777777" w:rsidR="00292A96" w:rsidRPr="00A56A5C" w:rsidRDefault="00292A96" w:rsidP="00743873">
            <w:pPr>
              <w:spacing w:after="0" w:line="240" w:lineRule="auto"/>
              <w:jc w:val="both"/>
              <w:rPr>
                <w:lang w:val="nl-BE"/>
              </w:rPr>
            </w:pPr>
            <w:r w:rsidRPr="00A56A5C">
              <w:rPr>
                <w:lang w:val="nl-BE"/>
              </w:rPr>
              <w:t xml:space="preserve">Het artikel in ontwerp regelt een controverse in de huidige rechtsleer en rechtspraak door aan de vruchtgebruiker het stemrecht op aandelen toe te kennen, zonder onderscheid naargelang van het voorwerp van de stemming.  Het gaat evenwel om een suppletieve regel waarvan in de statuten, een overeenkomst of een testament kan worden afgeweken. </w:t>
            </w:r>
          </w:p>
          <w:p w14:paraId="055813F7" w14:textId="77777777" w:rsidR="00292A96" w:rsidRDefault="00292A96" w:rsidP="00743873">
            <w:pPr>
              <w:spacing w:after="0" w:line="240" w:lineRule="auto"/>
              <w:jc w:val="both"/>
              <w:rPr>
                <w:lang w:val="nl-BE"/>
              </w:rPr>
            </w:pPr>
          </w:p>
          <w:p w14:paraId="1F02A5B4" w14:textId="77777777" w:rsidR="00292A96" w:rsidRPr="00A56A5C" w:rsidRDefault="00292A96" w:rsidP="00743873">
            <w:pPr>
              <w:spacing w:after="0" w:line="240" w:lineRule="auto"/>
              <w:jc w:val="both"/>
              <w:rPr>
                <w:lang w:val="nl-BE"/>
              </w:rPr>
            </w:pPr>
            <w:r w:rsidRPr="00A56A5C">
              <w:rPr>
                <w:lang w:val="nl-BE"/>
              </w:rPr>
              <w:t xml:space="preserve">Deze bepaling is geïnspireerd op artikel 237, tweede lid, W.Venn., maar veralgemeent die bepaling, die enkel toepasselijk is in het geval van overlijden van de enige vennoot van een éénhoofdige BVBA. </w:t>
            </w:r>
          </w:p>
          <w:p w14:paraId="439BB2FD" w14:textId="77777777" w:rsidR="00292A96" w:rsidRDefault="00292A96" w:rsidP="00743873">
            <w:pPr>
              <w:spacing w:after="0" w:line="240" w:lineRule="auto"/>
              <w:jc w:val="both"/>
              <w:rPr>
                <w:lang w:val="nl-BE"/>
              </w:rPr>
            </w:pPr>
          </w:p>
          <w:p w14:paraId="472E5EE0" w14:textId="77777777" w:rsidR="00292A96" w:rsidRPr="00BE221B" w:rsidRDefault="00292A96" w:rsidP="00743873">
            <w:pPr>
              <w:spacing w:after="0" w:line="240" w:lineRule="auto"/>
              <w:jc w:val="both"/>
              <w:rPr>
                <w:lang w:val="nl-BE"/>
              </w:rPr>
            </w:pPr>
            <w:r w:rsidRPr="00A56A5C">
              <w:rPr>
                <w:lang w:val="nl-BE"/>
              </w:rPr>
              <w:t xml:space="preserve">De  bepaling is van toepassing voor het geval een vruchtgebruik rust op effecten, ongeacht de oorsprong van dit vruchtgebruik </w:t>
            </w:r>
            <w:r w:rsidRPr="00A56A5C">
              <w:rPr>
                <w:lang w:val="nl-BE"/>
              </w:rPr>
              <w:lastRenderedPageBreak/>
              <w:t xml:space="preserve">(conventionele vestiging, uit kracht van wet, tengevolge van overlijden, …) en ongeacht of men te maken heeft met een vennootschap met één dan wel meerdere aandeelhouders. In de praktijk stelt men vast dat de betrokkenen vaak nalaten te regelen of de vruchtgebruiker dan wel de blote eigenaar bepaalde rechten verbonden aan de effecten mag uitoefenen. De ontworpen bepaling bevat een duidelijke suppletiefrechtelijke regeling, die de uitoefening van alle rechten aan de vruchtgebruiker voorbehoudt. </w:t>
            </w:r>
          </w:p>
        </w:tc>
        <w:tc>
          <w:tcPr>
            <w:tcW w:w="5953" w:type="dxa"/>
            <w:shd w:val="clear" w:color="auto" w:fill="auto"/>
          </w:tcPr>
          <w:p w14:paraId="58FA9A21" w14:textId="77777777" w:rsidR="00292A96" w:rsidRPr="00C26D23" w:rsidRDefault="00292A96" w:rsidP="00743873">
            <w:pPr>
              <w:spacing w:after="0" w:line="240" w:lineRule="auto"/>
              <w:jc w:val="both"/>
              <w:rPr>
                <w:lang w:val="fr-FR"/>
              </w:rPr>
            </w:pPr>
            <w:r w:rsidRPr="00A56A5C">
              <w:rPr>
                <w:lang w:val="fr-BE"/>
              </w:rPr>
              <w:lastRenderedPageBreak/>
              <w:t>L’article en projet tranche une controverse dans la doctrine et la jurisprudence actuelles en conférant à l’usufruitier le droit de vote, sans faire de distinction selon l’objet du vote. Il s’agit d’une règle supplétive à laquelle il peut être dérogé dans les statuts, une convention ou un testament.</w:t>
            </w:r>
          </w:p>
          <w:p w14:paraId="20F7CD44" w14:textId="77777777" w:rsidR="00292A96" w:rsidRDefault="00292A96" w:rsidP="00743873">
            <w:pPr>
              <w:spacing w:after="0" w:line="240" w:lineRule="auto"/>
              <w:jc w:val="both"/>
              <w:rPr>
                <w:lang w:val="fr-BE"/>
              </w:rPr>
            </w:pPr>
          </w:p>
          <w:p w14:paraId="5D8A650B" w14:textId="77777777" w:rsidR="00292A96" w:rsidRDefault="00292A96" w:rsidP="00743873">
            <w:pPr>
              <w:spacing w:after="0" w:line="240" w:lineRule="auto"/>
              <w:jc w:val="both"/>
              <w:rPr>
                <w:lang w:val="fr-FR"/>
              </w:rPr>
            </w:pPr>
            <w:r w:rsidRPr="00A56A5C">
              <w:rPr>
                <w:lang w:val="fr-FR"/>
              </w:rPr>
              <w:t xml:space="preserve">Cette disposition s’inspire de l’article 237, alinéa 2 </w:t>
            </w:r>
            <w:proofErr w:type="spellStart"/>
            <w:proofErr w:type="gramStart"/>
            <w:r w:rsidRPr="00A56A5C">
              <w:rPr>
                <w:lang w:val="fr-FR"/>
              </w:rPr>
              <w:t>C.Soc</w:t>
            </w:r>
            <w:proofErr w:type="spellEnd"/>
            <w:proofErr w:type="gramEnd"/>
            <w:r w:rsidRPr="00A56A5C">
              <w:rPr>
                <w:lang w:val="fr-FR"/>
              </w:rPr>
              <w:t xml:space="preserve">. </w:t>
            </w:r>
            <w:proofErr w:type="gramStart"/>
            <w:r w:rsidRPr="00A56A5C">
              <w:rPr>
                <w:lang w:val="fr-FR"/>
              </w:rPr>
              <w:t>mais</w:t>
            </w:r>
            <w:proofErr w:type="gramEnd"/>
            <w:r w:rsidRPr="00A56A5C">
              <w:rPr>
                <w:lang w:val="fr-FR"/>
              </w:rPr>
              <w:t xml:space="preserve"> rend générale son application, qui était limitée au cas du décès de l’actionnaire unique d’une SPRL unipersonnelle.</w:t>
            </w:r>
          </w:p>
          <w:p w14:paraId="215351CE" w14:textId="77777777" w:rsidR="00292A96" w:rsidRDefault="00292A96" w:rsidP="00743873">
            <w:pPr>
              <w:spacing w:after="0" w:line="240" w:lineRule="auto"/>
              <w:jc w:val="both"/>
              <w:rPr>
                <w:lang w:val="fr-FR"/>
              </w:rPr>
            </w:pPr>
          </w:p>
          <w:p w14:paraId="14761A83" w14:textId="77777777" w:rsidR="00292A96" w:rsidRPr="00A56A5C" w:rsidRDefault="00292A96" w:rsidP="00743873">
            <w:pPr>
              <w:spacing w:after="0" w:line="240" w:lineRule="auto"/>
              <w:jc w:val="both"/>
              <w:rPr>
                <w:lang w:val="fr-BE"/>
              </w:rPr>
            </w:pPr>
            <w:r w:rsidRPr="00A56A5C">
              <w:rPr>
                <w:lang w:val="fr-FR"/>
              </w:rPr>
              <w:t xml:space="preserve">La nouvelle règle s’applique au cas où les titres font l’objet d’un usufruit quel qu’en soit l’origine (conventionnelle, légale à la suite d’un décès) et que la société soit unipersonnelle ou non. On constate que dans la pratique les intéressés négligent souvent de </w:t>
            </w:r>
            <w:r w:rsidRPr="00A56A5C">
              <w:rPr>
                <w:lang w:val="fr-FR"/>
              </w:rPr>
              <w:lastRenderedPageBreak/>
              <w:t>déterminer quels droits liés à l’action devaient être exercés par l’usufruitier, respectivement le nu-propriétaire. La disposition en projet comporte une règle supplétive claire, qui réserve à l’usufruitier l’exercice de tous les droits liés à l’action</w:t>
            </w:r>
            <w:r w:rsidRPr="00743873">
              <w:rPr>
                <w:lang w:val="fr-FR"/>
              </w:rPr>
              <w:t>.</w:t>
            </w:r>
          </w:p>
        </w:tc>
      </w:tr>
      <w:tr w:rsidR="00292A96" w:rsidRPr="00C26D23" w14:paraId="777BD0F9" w14:textId="77777777" w:rsidTr="001908C1">
        <w:trPr>
          <w:trHeight w:val="393"/>
        </w:trPr>
        <w:tc>
          <w:tcPr>
            <w:tcW w:w="1980" w:type="dxa"/>
          </w:tcPr>
          <w:p w14:paraId="6E8038FF" w14:textId="77777777" w:rsidR="00292A96" w:rsidRDefault="00292A96" w:rsidP="00743873">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481771C4" w14:textId="77777777" w:rsidR="00292A96" w:rsidRPr="00C26D23" w:rsidRDefault="00292A96" w:rsidP="00743873">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shd w:val="clear" w:color="auto" w:fill="auto"/>
          </w:tcPr>
          <w:p w14:paraId="46745208" w14:textId="77777777" w:rsidR="00292A96" w:rsidRPr="00DD2148" w:rsidRDefault="00292A96" w:rsidP="00743873">
            <w:pPr>
              <w:spacing w:after="0" w:line="240" w:lineRule="auto"/>
              <w:jc w:val="both"/>
              <w:rPr>
                <w:rFonts w:cs="Calibri"/>
                <w:lang w:val="fr-FR"/>
              </w:rPr>
            </w:pPr>
            <w:r>
              <w:rPr>
                <w:rFonts w:cs="Calibri"/>
                <w:lang w:val="fr-FR"/>
              </w:rPr>
              <w:t>Pas de remarques.</w:t>
            </w:r>
          </w:p>
        </w:tc>
      </w:tr>
    </w:tbl>
    <w:p w14:paraId="640CD904" w14:textId="77777777" w:rsidR="000D42B6" w:rsidRPr="00DD2148" w:rsidRDefault="000D42B6">
      <w:pPr>
        <w:rPr>
          <w:lang w:val="fr-FR"/>
        </w:rPr>
      </w:pPr>
    </w:p>
    <w:sectPr w:rsidR="000D42B6" w:rsidRPr="00DD214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0C8C4" w14:textId="77777777" w:rsidR="00FF7F58" w:rsidRDefault="00FF7F58" w:rsidP="000D42B6">
      <w:pPr>
        <w:spacing w:after="0" w:line="240" w:lineRule="auto"/>
      </w:pPr>
      <w:r>
        <w:separator/>
      </w:r>
    </w:p>
  </w:endnote>
  <w:endnote w:type="continuationSeparator" w:id="0">
    <w:p w14:paraId="442EBB48" w14:textId="77777777" w:rsidR="00FF7F58" w:rsidRDefault="00FF7F5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7CC95" w14:textId="77777777" w:rsidR="00FF7F58" w:rsidRDefault="00FF7F58" w:rsidP="000D42B6">
      <w:pPr>
        <w:spacing w:after="0" w:line="240" w:lineRule="auto"/>
      </w:pPr>
      <w:r>
        <w:separator/>
      </w:r>
    </w:p>
  </w:footnote>
  <w:footnote w:type="continuationSeparator" w:id="0">
    <w:p w14:paraId="40696F2D" w14:textId="77777777" w:rsidR="00FF7F58" w:rsidRDefault="00FF7F5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F6EBF"/>
    <w:rsid w:val="00124FFC"/>
    <w:rsid w:val="001777AA"/>
    <w:rsid w:val="001908C1"/>
    <w:rsid w:val="00195659"/>
    <w:rsid w:val="001B7299"/>
    <w:rsid w:val="00200CB2"/>
    <w:rsid w:val="00292A96"/>
    <w:rsid w:val="003050EA"/>
    <w:rsid w:val="0036539D"/>
    <w:rsid w:val="00393BDA"/>
    <w:rsid w:val="003D55CF"/>
    <w:rsid w:val="00417C7D"/>
    <w:rsid w:val="00427696"/>
    <w:rsid w:val="004A303D"/>
    <w:rsid w:val="00512C24"/>
    <w:rsid w:val="00552278"/>
    <w:rsid w:val="005B33B1"/>
    <w:rsid w:val="005B3DDA"/>
    <w:rsid w:val="005E53AE"/>
    <w:rsid w:val="00602363"/>
    <w:rsid w:val="00697A0E"/>
    <w:rsid w:val="00743873"/>
    <w:rsid w:val="007A6A5E"/>
    <w:rsid w:val="007E000B"/>
    <w:rsid w:val="00812011"/>
    <w:rsid w:val="008A299A"/>
    <w:rsid w:val="009202F4"/>
    <w:rsid w:val="00926C96"/>
    <w:rsid w:val="00995A4F"/>
    <w:rsid w:val="00A31998"/>
    <w:rsid w:val="00A46D88"/>
    <w:rsid w:val="00A961CC"/>
    <w:rsid w:val="00B015DC"/>
    <w:rsid w:val="00B0539A"/>
    <w:rsid w:val="00BB0F3C"/>
    <w:rsid w:val="00C26D23"/>
    <w:rsid w:val="00C97319"/>
    <w:rsid w:val="00CB4E93"/>
    <w:rsid w:val="00CF7A49"/>
    <w:rsid w:val="00D33F08"/>
    <w:rsid w:val="00D417F8"/>
    <w:rsid w:val="00DC54F2"/>
    <w:rsid w:val="00DD2148"/>
    <w:rsid w:val="00E151F2"/>
    <w:rsid w:val="00E17723"/>
    <w:rsid w:val="00E5159B"/>
    <w:rsid w:val="00F602B3"/>
    <w:rsid w:val="00FA09D7"/>
    <w:rsid w:val="00FF7F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D7E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A94E-279A-FE42-A935-6B4B87E3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3275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36</cp:revision>
  <dcterms:created xsi:type="dcterms:W3CDTF">2019-10-18T10:25:00Z</dcterms:created>
  <dcterms:modified xsi:type="dcterms:W3CDTF">2021-10-20T18:31:00Z</dcterms:modified>
</cp:coreProperties>
</file>