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AA6FF2" w:rsidRPr="00230729" w14:paraId="52D9E537" w14:textId="77777777" w:rsidTr="00AA6FF2">
        <w:tc>
          <w:tcPr>
            <w:tcW w:w="13462" w:type="dxa"/>
            <w:gridSpan w:val="3"/>
          </w:tcPr>
          <w:p w14:paraId="2F1289FB" w14:textId="77777777" w:rsidR="00AA6FF2" w:rsidRPr="00B07AC9" w:rsidRDefault="00AA6FF2" w:rsidP="00406655">
            <w:pPr>
              <w:rPr>
                <w:b/>
                <w:sz w:val="32"/>
                <w:szCs w:val="32"/>
                <w:lang w:val="nl-BE"/>
              </w:rPr>
            </w:pPr>
            <w:r>
              <w:rPr>
                <w:b/>
                <w:sz w:val="32"/>
                <w:szCs w:val="32"/>
                <w:lang w:val="nl-BE"/>
              </w:rPr>
              <w:t>Hoofdstuk 2. – De vorm van effecten.</w:t>
            </w:r>
          </w:p>
        </w:tc>
        <w:tc>
          <w:tcPr>
            <w:tcW w:w="283" w:type="dxa"/>
            <w:shd w:val="clear" w:color="auto" w:fill="auto"/>
          </w:tcPr>
          <w:p w14:paraId="754428B0" w14:textId="77777777" w:rsidR="00AA6FF2" w:rsidRPr="00382324" w:rsidRDefault="00AA6FF2" w:rsidP="00406655">
            <w:pPr>
              <w:rPr>
                <w:rFonts w:asciiTheme="majorHAnsi" w:eastAsiaTheme="majorEastAsia" w:hAnsiTheme="majorHAnsi" w:cstheme="majorBidi"/>
                <w:b/>
                <w:bCs/>
                <w:color w:val="2E74B5" w:themeColor="accent1" w:themeShade="BF"/>
                <w:sz w:val="32"/>
                <w:szCs w:val="28"/>
                <w:lang w:val="nl-BE"/>
              </w:rPr>
            </w:pPr>
          </w:p>
        </w:tc>
      </w:tr>
      <w:tr w:rsidR="00AA6FF2" w:rsidRPr="00AA6FF2" w14:paraId="36D6AC65" w14:textId="77777777" w:rsidTr="00AA6FF2">
        <w:tc>
          <w:tcPr>
            <w:tcW w:w="13462" w:type="dxa"/>
            <w:gridSpan w:val="3"/>
          </w:tcPr>
          <w:p w14:paraId="0C3B63CC" w14:textId="77777777" w:rsidR="00AA6FF2" w:rsidRPr="00B07AC9" w:rsidRDefault="00AA6FF2" w:rsidP="00406655">
            <w:pPr>
              <w:rPr>
                <w:b/>
                <w:sz w:val="32"/>
                <w:szCs w:val="32"/>
                <w:lang w:val="nl-BE"/>
              </w:rPr>
            </w:pPr>
            <w:r>
              <w:rPr>
                <w:b/>
                <w:sz w:val="32"/>
                <w:szCs w:val="32"/>
                <w:lang w:val="nl-BE"/>
              </w:rPr>
              <w:t>Afdeling 1. – Effecten op naam.</w:t>
            </w:r>
          </w:p>
        </w:tc>
        <w:tc>
          <w:tcPr>
            <w:tcW w:w="283" w:type="dxa"/>
            <w:shd w:val="clear" w:color="auto" w:fill="auto"/>
          </w:tcPr>
          <w:p w14:paraId="5D704367" w14:textId="77777777" w:rsidR="00AA6FF2" w:rsidRPr="00382324" w:rsidRDefault="00AA6FF2" w:rsidP="00406655">
            <w:pPr>
              <w:rPr>
                <w:rFonts w:asciiTheme="majorHAnsi" w:eastAsiaTheme="majorEastAsia" w:hAnsiTheme="majorHAnsi" w:cstheme="majorBidi"/>
                <w:b/>
                <w:bCs/>
                <w:color w:val="2E74B5" w:themeColor="accent1" w:themeShade="BF"/>
                <w:sz w:val="32"/>
                <w:szCs w:val="28"/>
                <w:lang w:val="nl-BE"/>
              </w:rPr>
            </w:pPr>
          </w:p>
        </w:tc>
      </w:tr>
      <w:tr w:rsidR="000D42B6" w:rsidRPr="002A763A" w14:paraId="5A42ADBC" w14:textId="77777777" w:rsidTr="00E17723">
        <w:tc>
          <w:tcPr>
            <w:tcW w:w="1980" w:type="dxa"/>
          </w:tcPr>
          <w:p w14:paraId="64A080B2" w14:textId="77777777" w:rsidR="000D42B6" w:rsidRPr="00B07AC9" w:rsidRDefault="000D42B6" w:rsidP="00406655">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926C96">
              <w:rPr>
                <w:b/>
                <w:sz w:val="32"/>
                <w:szCs w:val="32"/>
                <w:lang w:val="nl-BE"/>
              </w:rPr>
              <w:t>2</w:t>
            </w:r>
            <w:r w:rsidR="004A4EC5">
              <w:rPr>
                <w:b/>
                <w:sz w:val="32"/>
                <w:szCs w:val="32"/>
                <w:lang w:val="nl-BE"/>
              </w:rPr>
              <w:t>7</w:t>
            </w:r>
          </w:p>
        </w:tc>
        <w:tc>
          <w:tcPr>
            <w:tcW w:w="11765" w:type="dxa"/>
            <w:gridSpan w:val="3"/>
            <w:shd w:val="clear" w:color="auto" w:fill="auto"/>
          </w:tcPr>
          <w:p w14:paraId="7C761CFA" w14:textId="77777777" w:rsidR="000D42B6" w:rsidRPr="00382324" w:rsidRDefault="000D42B6" w:rsidP="00406655">
            <w:pPr>
              <w:rPr>
                <w:rFonts w:asciiTheme="majorHAnsi" w:eastAsiaTheme="majorEastAsia" w:hAnsiTheme="majorHAnsi" w:cstheme="majorBidi"/>
                <w:b/>
                <w:bCs/>
                <w:color w:val="2E74B5" w:themeColor="accent1" w:themeShade="BF"/>
                <w:sz w:val="32"/>
                <w:szCs w:val="28"/>
                <w:lang w:val="nl-BE"/>
              </w:rPr>
            </w:pPr>
          </w:p>
        </w:tc>
      </w:tr>
      <w:tr w:rsidR="005B33B1" w:rsidRPr="002A763A" w14:paraId="02F6BB80" w14:textId="77777777" w:rsidTr="00E17723">
        <w:tc>
          <w:tcPr>
            <w:tcW w:w="1980" w:type="dxa"/>
          </w:tcPr>
          <w:p w14:paraId="4B0FFC82" w14:textId="77777777" w:rsidR="005B33B1" w:rsidRPr="00B07AC9" w:rsidRDefault="005B33B1" w:rsidP="00406655">
            <w:pPr>
              <w:rPr>
                <w:b/>
                <w:sz w:val="32"/>
                <w:szCs w:val="32"/>
                <w:lang w:val="nl-BE"/>
              </w:rPr>
            </w:pPr>
          </w:p>
        </w:tc>
        <w:tc>
          <w:tcPr>
            <w:tcW w:w="11765" w:type="dxa"/>
            <w:gridSpan w:val="3"/>
            <w:shd w:val="clear" w:color="auto" w:fill="auto"/>
          </w:tcPr>
          <w:p w14:paraId="3F56E0B1" w14:textId="77777777" w:rsidR="005B33B1" w:rsidRPr="00382324" w:rsidRDefault="005B33B1" w:rsidP="00406655">
            <w:pPr>
              <w:rPr>
                <w:rFonts w:asciiTheme="majorHAnsi" w:eastAsiaTheme="majorEastAsia" w:hAnsiTheme="majorHAnsi" w:cstheme="majorBidi"/>
                <w:b/>
                <w:bCs/>
                <w:color w:val="2E74B5" w:themeColor="accent1" w:themeShade="BF"/>
                <w:sz w:val="32"/>
                <w:szCs w:val="28"/>
                <w:lang w:val="nl-BE"/>
              </w:rPr>
            </w:pPr>
          </w:p>
        </w:tc>
      </w:tr>
      <w:tr w:rsidR="004A4EC5" w:rsidRPr="00406655" w14:paraId="3213F782" w14:textId="77777777" w:rsidTr="00406655">
        <w:trPr>
          <w:trHeight w:val="1086"/>
        </w:trPr>
        <w:tc>
          <w:tcPr>
            <w:tcW w:w="1980" w:type="dxa"/>
          </w:tcPr>
          <w:p w14:paraId="4E83BEC5" w14:textId="77777777" w:rsidR="004A4EC5" w:rsidRDefault="004A4EC5" w:rsidP="00406655">
            <w:pPr>
              <w:spacing w:after="0" w:line="240" w:lineRule="auto"/>
              <w:jc w:val="both"/>
              <w:rPr>
                <w:rFonts w:cs="Calibri"/>
                <w:lang w:val="nl-BE"/>
              </w:rPr>
            </w:pPr>
            <w:r>
              <w:rPr>
                <w:rFonts w:cs="Calibri"/>
                <w:lang w:val="nl-BE"/>
              </w:rPr>
              <w:t>WVV</w:t>
            </w:r>
          </w:p>
        </w:tc>
        <w:tc>
          <w:tcPr>
            <w:tcW w:w="5812" w:type="dxa"/>
            <w:shd w:val="clear" w:color="auto" w:fill="auto"/>
          </w:tcPr>
          <w:p w14:paraId="2F3A57EC" w14:textId="77777777" w:rsidR="004A4EC5" w:rsidRPr="00406655" w:rsidRDefault="004A4EC5" w:rsidP="00406655">
            <w:pPr>
              <w:spacing w:after="0" w:line="240" w:lineRule="auto"/>
              <w:jc w:val="both"/>
              <w:rPr>
                <w:rFonts w:cs="Calibri"/>
                <w:lang w:val="nl-BE"/>
              </w:rPr>
            </w:pPr>
            <w:r w:rsidRPr="00A56A5C">
              <w:rPr>
                <w:rFonts w:cs="Calibri"/>
                <w:lang w:val="nl-BE"/>
              </w:rPr>
              <w:t>Het effect op naam wordt vertegenwoordigd door een inschrijving van het effect in het relevante in artikel 7:28 bedoelde effectenregister. Dit effect kan ook blijken uit de vermelding op naam van zijn houder in de uitgifteakte.</w:t>
            </w:r>
          </w:p>
        </w:tc>
        <w:tc>
          <w:tcPr>
            <w:tcW w:w="5953" w:type="dxa"/>
            <w:gridSpan w:val="2"/>
            <w:shd w:val="clear" w:color="auto" w:fill="auto"/>
          </w:tcPr>
          <w:p w14:paraId="6C4BC6BB" w14:textId="1F22DF9D" w:rsidR="004A4EC5" w:rsidRPr="00406655" w:rsidRDefault="004A4EC5" w:rsidP="00406655">
            <w:pPr>
              <w:spacing w:after="0" w:line="240" w:lineRule="auto"/>
              <w:jc w:val="both"/>
              <w:rPr>
                <w:rFonts w:cs="Calibri"/>
                <w:lang w:val="fr-FR"/>
              </w:rPr>
            </w:pPr>
            <w:r w:rsidRPr="00DB5DEC">
              <w:rPr>
                <w:rFonts w:cs="Calibri"/>
                <w:lang w:val="fr-FR"/>
              </w:rPr>
              <w:t>Le titre nominatif est représenté par une inscription da</w:t>
            </w:r>
            <w:r w:rsidR="00ED6A64">
              <w:rPr>
                <w:rFonts w:cs="Calibri"/>
                <w:lang w:val="fr-FR"/>
              </w:rPr>
              <w:t>ns le registre adéquat visé à l'</w:t>
            </w:r>
            <w:r w:rsidRPr="00DB5DEC">
              <w:rPr>
                <w:rFonts w:cs="Calibri"/>
                <w:lang w:val="fr-FR"/>
              </w:rPr>
              <w:t>article 7:28. Ce titre peut aussi être établi par la mention</w:t>
            </w:r>
            <w:r w:rsidR="00ED6A64">
              <w:rPr>
                <w:rFonts w:cs="Calibri"/>
                <w:lang w:val="fr-FR"/>
              </w:rPr>
              <w:t xml:space="preserve"> du nom de son titulaire dans l'</w:t>
            </w:r>
            <w:r w:rsidRPr="00DB5DEC">
              <w:rPr>
                <w:rFonts w:cs="Calibri"/>
                <w:lang w:val="fr-FR"/>
              </w:rPr>
              <w:t>acte d</w:t>
            </w:r>
            <w:r w:rsidR="00ED6A64">
              <w:rPr>
                <w:rFonts w:cs="Calibri"/>
                <w:lang w:val="fr-FR"/>
              </w:rPr>
              <w:t>'</w:t>
            </w:r>
            <w:r w:rsidRPr="00DB5DEC">
              <w:rPr>
                <w:rFonts w:cs="Calibri"/>
                <w:lang w:val="fr-FR"/>
              </w:rPr>
              <w:t>émission.</w:t>
            </w:r>
          </w:p>
        </w:tc>
      </w:tr>
      <w:tr w:rsidR="00230729" w:rsidRPr="00406655" w14:paraId="11FE8FE1" w14:textId="77777777" w:rsidTr="00406655">
        <w:trPr>
          <w:trHeight w:val="1086"/>
        </w:trPr>
        <w:tc>
          <w:tcPr>
            <w:tcW w:w="1980" w:type="dxa"/>
          </w:tcPr>
          <w:p w14:paraId="430B0E91" w14:textId="77777777" w:rsidR="00230729" w:rsidRDefault="00230729" w:rsidP="002A31B3">
            <w:pPr>
              <w:spacing w:after="0" w:line="240" w:lineRule="auto"/>
              <w:jc w:val="both"/>
              <w:rPr>
                <w:rFonts w:cs="Calibri"/>
                <w:lang w:val="fr-FR"/>
              </w:rPr>
            </w:pPr>
            <w:r>
              <w:rPr>
                <w:rFonts w:cs="Calibri"/>
                <w:lang w:val="fr-FR"/>
              </w:rPr>
              <w:t>Ontwerp</w:t>
            </w:r>
          </w:p>
        </w:tc>
        <w:tc>
          <w:tcPr>
            <w:tcW w:w="5812" w:type="dxa"/>
            <w:shd w:val="clear" w:color="auto" w:fill="auto"/>
          </w:tcPr>
          <w:p w14:paraId="1A3AB070" w14:textId="1854F4D8" w:rsidR="00230729" w:rsidRPr="0088714D" w:rsidRDefault="0088714D" w:rsidP="0088714D">
            <w:pPr>
              <w:jc w:val="both"/>
              <w:rPr>
                <w:lang w:val="nl-NL"/>
              </w:rPr>
            </w:pPr>
            <w:del w:id="0" w:author="Microsoft Office-gebruiker" w:date="2021-10-20T20:41:00Z">
              <w:r w:rsidRPr="00AA6FF2">
                <w:rPr>
                  <w:lang w:val="nl-BE"/>
                </w:rPr>
                <w:delText xml:space="preserve">Art. 7:23. De eigenaars van effecten gedematerialiseerde effecten kunnen te allen tijde </w:delText>
              </w:r>
              <w:r>
                <w:rPr>
                  <w:lang w:val="nl-BE"/>
                </w:rPr>
                <w:delText>vragen dat deze op hun kosten wo</w:delText>
              </w:r>
              <w:r w:rsidRPr="00AA6FF2">
                <w:rPr>
                  <w:lang w:val="nl-BE"/>
                </w:rPr>
                <w:delText>rden omgezet in effecten op naam.</w:delText>
              </w:r>
            </w:del>
            <w:ins w:id="1" w:author="Microsoft Office-gebruiker" w:date="2021-10-20T20:41:00Z">
              <w:r w:rsidRPr="007A6BB3">
                <w:rPr>
                  <w:lang w:val="nl-BE"/>
                </w:rPr>
                <w:t>Art. 7:27. Het effect op naam wordt vertegenwoordigd door een inschrijving van het effect in het relevante in artikel 7:28 bedoelde effectenregister. Dit effect kan ook blijken uit de vermelding op naam van zijn houder in de uitgifteakte.</w:t>
              </w:r>
            </w:ins>
          </w:p>
        </w:tc>
        <w:tc>
          <w:tcPr>
            <w:tcW w:w="5953" w:type="dxa"/>
            <w:gridSpan w:val="2"/>
            <w:shd w:val="clear" w:color="auto" w:fill="auto"/>
          </w:tcPr>
          <w:p w14:paraId="588F7168" w14:textId="13543740" w:rsidR="00230729" w:rsidRPr="00FA3C8E" w:rsidRDefault="00FA3C8E" w:rsidP="00FA3C8E">
            <w:pPr>
              <w:jc w:val="both"/>
            </w:pPr>
            <w:del w:id="2" w:author="Microsoft Office-gebruiker" w:date="2021-10-20T20:43:00Z">
              <w:r w:rsidRPr="00AA6FF2">
                <w:rPr>
                  <w:lang w:val="fr-FR"/>
                </w:rPr>
                <w:delText>Art. 7:23. Les propriétaires de titres dématérialisés peuvent, à tout moment, en demander la conversion, à leurs frais, en titres nominatifs.</w:delText>
              </w:r>
            </w:del>
            <w:ins w:id="3" w:author="Microsoft Office-gebruiker" w:date="2021-10-20T20:43:00Z">
              <w:r w:rsidRPr="007A6BB3">
                <w:rPr>
                  <w:lang w:val="fr-FR"/>
                </w:rPr>
                <w:t>Art. 7:27.  Le titre nominatif est représenté par une inscription dans le registre adéquat visé à l’article 7:28. Ce titre peut aussi être établi par la mention</w:t>
              </w:r>
              <w:r>
                <w:rPr>
                  <w:lang w:val="fr-FR"/>
                </w:rPr>
                <w:t xml:space="preserve"> du nom de son titulaire dans l'acte d'</w:t>
              </w:r>
              <w:r w:rsidRPr="007A6BB3">
                <w:rPr>
                  <w:lang w:val="fr-FR"/>
                </w:rPr>
                <w:t>émission.</w:t>
              </w:r>
            </w:ins>
            <w:bookmarkStart w:id="4" w:name="_GoBack"/>
            <w:bookmarkEnd w:id="4"/>
          </w:p>
        </w:tc>
      </w:tr>
      <w:tr w:rsidR="00230729" w:rsidRPr="00230729" w14:paraId="2819FB15" w14:textId="77777777" w:rsidTr="00406655">
        <w:trPr>
          <w:trHeight w:val="794"/>
        </w:trPr>
        <w:tc>
          <w:tcPr>
            <w:tcW w:w="1980" w:type="dxa"/>
          </w:tcPr>
          <w:p w14:paraId="6DE27032" w14:textId="77777777" w:rsidR="00230729" w:rsidRPr="00AA6FF2" w:rsidRDefault="00230729" w:rsidP="00406655">
            <w:pPr>
              <w:spacing w:after="0" w:line="240" w:lineRule="auto"/>
              <w:jc w:val="both"/>
              <w:rPr>
                <w:rFonts w:cs="Calibri"/>
                <w:lang w:val="fr-FR"/>
              </w:rPr>
            </w:pPr>
            <w:r>
              <w:rPr>
                <w:rFonts w:cs="Calibri"/>
                <w:lang w:val="fr-FR"/>
              </w:rPr>
              <w:t>Voorontwerp</w:t>
            </w:r>
          </w:p>
        </w:tc>
        <w:tc>
          <w:tcPr>
            <w:tcW w:w="5812" w:type="dxa"/>
            <w:shd w:val="clear" w:color="auto" w:fill="auto"/>
          </w:tcPr>
          <w:p w14:paraId="22F7169E" w14:textId="77777777" w:rsidR="00230729" w:rsidRPr="00AA6FF2" w:rsidRDefault="00230729" w:rsidP="00406655">
            <w:pPr>
              <w:spacing w:after="0" w:line="240" w:lineRule="auto"/>
              <w:jc w:val="both"/>
              <w:rPr>
                <w:lang w:val="nl-BE"/>
              </w:rPr>
            </w:pPr>
            <w:r w:rsidRPr="00AA6FF2">
              <w:rPr>
                <w:lang w:val="nl-BE"/>
              </w:rPr>
              <w:t xml:space="preserve">Art. 7:23. De eigenaars van effecten gedematerialiseerde effecten kunnen te allen tijde </w:t>
            </w:r>
            <w:r>
              <w:rPr>
                <w:lang w:val="nl-BE"/>
              </w:rPr>
              <w:t>vragen dat deze op hun kosten wo</w:t>
            </w:r>
            <w:r w:rsidRPr="00AA6FF2">
              <w:rPr>
                <w:lang w:val="nl-BE"/>
              </w:rPr>
              <w:t>rden omgezet in effecten op naam.</w:t>
            </w:r>
          </w:p>
        </w:tc>
        <w:tc>
          <w:tcPr>
            <w:tcW w:w="5953" w:type="dxa"/>
            <w:gridSpan w:val="2"/>
            <w:shd w:val="clear" w:color="auto" w:fill="auto"/>
          </w:tcPr>
          <w:p w14:paraId="7C2B66F7" w14:textId="77777777" w:rsidR="00230729" w:rsidRPr="007A6BB3" w:rsidRDefault="00230729" w:rsidP="00406655">
            <w:pPr>
              <w:spacing w:after="0" w:line="240" w:lineRule="auto"/>
              <w:jc w:val="both"/>
              <w:rPr>
                <w:lang w:val="fr-FR"/>
              </w:rPr>
            </w:pPr>
            <w:r w:rsidRPr="00AA6FF2">
              <w:rPr>
                <w:lang w:val="fr-FR"/>
              </w:rPr>
              <w:t>Art. 7:23. Les propriétaires de titres dématérialisés peuvent, à tout moment, en demander la conversion, à leurs frais, en titres nominatifs.</w:t>
            </w:r>
          </w:p>
        </w:tc>
      </w:tr>
      <w:tr w:rsidR="00230729" w:rsidRPr="00406655" w14:paraId="24E20CEB" w14:textId="77777777" w:rsidTr="00406655">
        <w:trPr>
          <w:trHeight w:val="1086"/>
        </w:trPr>
        <w:tc>
          <w:tcPr>
            <w:tcW w:w="1980" w:type="dxa"/>
          </w:tcPr>
          <w:p w14:paraId="07C21718" w14:textId="77777777" w:rsidR="00230729" w:rsidRDefault="00230729" w:rsidP="00406655">
            <w:pPr>
              <w:spacing w:after="0" w:line="240" w:lineRule="auto"/>
              <w:jc w:val="both"/>
              <w:rPr>
                <w:rFonts w:cs="Calibri"/>
                <w:lang w:val="fr-FR"/>
              </w:rPr>
            </w:pPr>
            <w:r>
              <w:rPr>
                <w:rFonts w:cs="Calibri"/>
                <w:lang w:val="fr-FR"/>
              </w:rPr>
              <w:t>MvT</w:t>
            </w:r>
          </w:p>
        </w:tc>
        <w:tc>
          <w:tcPr>
            <w:tcW w:w="5812" w:type="dxa"/>
            <w:shd w:val="clear" w:color="auto" w:fill="auto"/>
          </w:tcPr>
          <w:p w14:paraId="3BFCAB9E" w14:textId="77777777" w:rsidR="00230729" w:rsidRPr="0002020A" w:rsidRDefault="00230729" w:rsidP="00406655">
            <w:pPr>
              <w:spacing w:after="0" w:line="240" w:lineRule="auto"/>
              <w:jc w:val="both"/>
              <w:rPr>
                <w:lang w:val="nl-BE"/>
              </w:rPr>
            </w:pPr>
            <w:r w:rsidRPr="00DB5DEC">
              <w:rPr>
                <w:bCs/>
                <w:iCs/>
                <w:lang w:val="nl-BE"/>
              </w:rPr>
              <w:t xml:space="preserve">In lijn met de heersende opvatting wordt een effect op naam vertegenwoordigd door een inschrijving in een register. Overeenkomstig de rechtspraak van het Hof van Cassatie (Cass. 25 maart 1909) kan het bewijs van het bestaan van een naamsaandeel ook uit een uitgifteakte blijken. Zulke regel is nodig omdat vele vennootschappen pas een aandelenregister aanleggen bij een eerste overdracht van aandelen. Het voorgestelde artikel bevestigt deze opvatting, die thans niet uitdrukkelijk in de wet staat. Zoals ook in de toelichting bij de artikelen 5:29 en 7:34 uitgelegd, doen deze regels geen afbreuk aan de mogelijkheid om te bewijzen dat het aandelenregister foutief is, en niet de juiste titularis van de aandelen vermeldt. </w:t>
            </w:r>
            <w:r w:rsidRPr="00DB5DEC">
              <w:rPr>
                <w:bCs/>
                <w:iCs/>
                <w:lang w:val="nl-BE"/>
              </w:rPr>
              <w:lastRenderedPageBreak/>
              <w:t xml:space="preserve">Artikel 7:27 betreft enkel het bestaan en de vorm van effecten op naam. </w:t>
            </w:r>
          </w:p>
          <w:p w14:paraId="67509334" w14:textId="77777777" w:rsidR="00230729" w:rsidRDefault="00230729" w:rsidP="00406655">
            <w:pPr>
              <w:spacing w:after="0" w:line="240" w:lineRule="auto"/>
              <w:jc w:val="both"/>
              <w:rPr>
                <w:lang w:val="nl-BE"/>
              </w:rPr>
            </w:pPr>
          </w:p>
          <w:p w14:paraId="192C24AF" w14:textId="77777777" w:rsidR="00230729" w:rsidRPr="00BE221B" w:rsidRDefault="00230729" w:rsidP="00406655">
            <w:pPr>
              <w:spacing w:after="0" w:line="240" w:lineRule="auto"/>
              <w:jc w:val="both"/>
              <w:rPr>
                <w:lang w:val="nl-BE"/>
              </w:rPr>
            </w:pPr>
            <w:r w:rsidRPr="00DB5DEC">
              <w:rPr>
                <w:lang w:val="nl-BE"/>
              </w:rPr>
              <w:t>Effecten die toegang geven tot aandelen zijn onder meer effecten die de mogelijkheid bieden in te schrijven op aandelen of in aandelen kunnen worden geconverteerd.</w:t>
            </w:r>
          </w:p>
        </w:tc>
        <w:tc>
          <w:tcPr>
            <w:tcW w:w="5953" w:type="dxa"/>
            <w:gridSpan w:val="2"/>
            <w:shd w:val="clear" w:color="auto" w:fill="auto"/>
          </w:tcPr>
          <w:p w14:paraId="4D880B8A" w14:textId="77777777" w:rsidR="00230729" w:rsidRPr="0002020A" w:rsidRDefault="00230729" w:rsidP="00406655">
            <w:pPr>
              <w:spacing w:after="0" w:line="240" w:lineRule="auto"/>
              <w:jc w:val="both"/>
              <w:rPr>
                <w:lang w:val="fr-FR"/>
              </w:rPr>
            </w:pPr>
            <w:r w:rsidRPr="00DB5DEC">
              <w:rPr>
                <w:iCs/>
                <w:lang w:val="fr-BE"/>
              </w:rPr>
              <w:lastRenderedPageBreak/>
              <w:t xml:space="preserve">Conformément à l’opinion dominante, un titre nominatif est représenté par une inscription dans un registre. Selon la jurisprudence de la Cour de cassation (Cass. 25 mars 1909), la preuve de l’existence d’une action nominative peut également résulter de l’acte d’émission. Cette règle est nécessaire parce que nombre de sociétés n’établissent le registre des actions qu’à l’occasion du premier transfert d’actions. L’article proposé confirme cette conception, qui n’apparaît pas actuellement dans la loi.  Comme il est dit dans le commentaire des articles 5:29 et 7:34, ces règles n’interdisent pas de démontrer que le registre des actions comporte des erreurs et ne mentionne pas le </w:t>
            </w:r>
            <w:r w:rsidRPr="00DB5DEC">
              <w:rPr>
                <w:iCs/>
                <w:lang w:val="fr-BE"/>
              </w:rPr>
              <w:lastRenderedPageBreak/>
              <w:t xml:space="preserve">véritable titulaire des actions. L’article 7:27 ne concerne que l’existence et la forme des titres nominatifs. </w:t>
            </w:r>
          </w:p>
          <w:p w14:paraId="772F8F49" w14:textId="77777777" w:rsidR="00230729" w:rsidRDefault="00230729" w:rsidP="00406655">
            <w:pPr>
              <w:spacing w:after="0" w:line="240" w:lineRule="auto"/>
              <w:jc w:val="both"/>
              <w:rPr>
                <w:lang w:val="fr-BE"/>
              </w:rPr>
            </w:pPr>
          </w:p>
          <w:p w14:paraId="7698E1C5" w14:textId="77777777" w:rsidR="00230729" w:rsidRPr="00DB5DEC" w:rsidRDefault="00230729" w:rsidP="00406655">
            <w:pPr>
              <w:spacing w:after="0" w:line="240" w:lineRule="auto"/>
              <w:jc w:val="both"/>
              <w:rPr>
                <w:lang w:val="fr-BE"/>
              </w:rPr>
            </w:pPr>
            <w:r w:rsidRPr="00DB5DEC">
              <w:rPr>
                <w:lang w:val="fr-BE"/>
              </w:rPr>
              <w:t>Les titres qui donnent accès à une action sont notamment des titres qui permettent de souscrire à des actions ou peuvent être convertis en actions.</w:t>
            </w:r>
          </w:p>
          <w:p w14:paraId="621A4551" w14:textId="77777777" w:rsidR="00230729" w:rsidRPr="00DB5DEC" w:rsidRDefault="00230729" w:rsidP="00406655">
            <w:pPr>
              <w:spacing w:after="0" w:line="240" w:lineRule="auto"/>
              <w:jc w:val="both"/>
              <w:rPr>
                <w:lang w:val="fr-BE"/>
              </w:rPr>
            </w:pPr>
          </w:p>
        </w:tc>
      </w:tr>
      <w:tr w:rsidR="00230729" w:rsidRPr="0002020A" w14:paraId="03D02B93" w14:textId="77777777" w:rsidTr="00692FE1">
        <w:trPr>
          <w:trHeight w:val="353"/>
        </w:trPr>
        <w:tc>
          <w:tcPr>
            <w:tcW w:w="1980" w:type="dxa"/>
          </w:tcPr>
          <w:p w14:paraId="0F165AB5" w14:textId="77777777" w:rsidR="00230729" w:rsidRDefault="00230729" w:rsidP="00406655">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67A2823B" w14:textId="77777777" w:rsidR="00230729" w:rsidRPr="0002020A" w:rsidRDefault="00230729" w:rsidP="00406655">
            <w:pPr>
              <w:spacing w:after="0" w:line="240" w:lineRule="auto"/>
              <w:rPr>
                <w:lang w:val="fr-FR"/>
              </w:rPr>
            </w:pPr>
            <w:r>
              <w:rPr>
                <w:lang w:val="fr-FR"/>
              </w:rPr>
              <w:t>Geen opmerkingen.</w:t>
            </w:r>
          </w:p>
        </w:tc>
        <w:tc>
          <w:tcPr>
            <w:tcW w:w="5953" w:type="dxa"/>
            <w:gridSpan w:val="2"/>
            <w:shd w:val="clear" w:color="auto" w:fill="auto"/>
          </w:tcPr>
          <w:p w14:paraId="606AFF47" w14:textId="77777777" w:rsidR="00230729" w:rsidRPr="007A6BB3" w:rsidRDefault="00230729" w:rsidP="00406655">
            <w:pPr>
              <w:spacing w:after="0" w:line="240" w:lineRule="auto"/>
              <w:rPr>
                <w:lang w:val="fr-FR"/>
              </w:rPr>
            </w:pPr>
            <w:r>
              <w:rPr>
                <w:lang w:val="fr-FR"/>
              </w:rPr>
              <w:t>Pas de remarques.</w:t>
            </w:r>
          </w:p>
        </w:tc>
      </w:tr>
    </w:tbl>
    <w:p w14:paraId="642465A4" w14:textId="77777777" w:rsidR="000D42B6" w:rsidRPr="007A6BB3" w:rsidRDefault="000D42B6">
      <w:pPr>
        <w:rPr>
          <w:lang w:val="fr-FR"/>
        </w:rPr>
      </w:pPr>
    </w:p>
    <w:sectPr w:rsidR="000D42B6" w:rsidRPr="007A6BB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B0EDE" w14:textId="77777777" w:rsidR="00B54DF1" w:rsidRDefault="00B54DF1" w:rsidP="000D42B6">
      <w:pPr>
        <w:spacing w:after="0" w:line="240" w:lineRule="auto"/>
      </w:pPr>
      <w:r>
        <w:separator/>
      </w:r>
    </w:p>
  </w:endnote>
  <w:endnote w:type="continuationSeparator" w:id="0">
    <w:p w14:paraId="0EB18D14" w14:textId="77777777" w:rsidR="00B54DF1" w:rsidRDefault="00B54DF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6C97B" w14:textId="77777777" w:rsidR="00B54DF1" w:rsidRDefault="00B54DF1" w:rsidP="000D42B6">
      <w:pPr>
        <w:spacing w:after="0" w:line="240" w:lineRule="auto"/>
      </w:pPr>
      <w:r>
        <w:separator/>
      </w:r>
    </w:p>
  </w:footnote>
  <w:footnote w:type="continuationSeparator" w:id="0">
    <w:p w14:paraId="78BA60F5" w14:textId="77777777" w:rsidR="00B54DF1" w:rsidRDefault="00B54DF1"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020A"/>
    <w:rsid w:val="00045500"/>
    <w:rsid w:val="000D42B6"/>
    <w:rsid w:val="000F6EBF"/>
    <w:rsid w:val="00124FFC"/>
    <w:rsid w:val="001777AA"/>
    <w:rsid w:val="00195659"/>
    <w:rsid w:val="001B7299"/>
    <w:rsid w:val="00200CB2"/>
    <w:rsid w:val="00230729"/>
    <w:rsid w:val="003050EA"/>
    <w:rsid w:val="0036539D"/>
    <w:rsid w:val="00393BDA"/>
    <w:rsid w:val="003D55CF"/>
    <w:rsid w:val="00406655"/>
    <w:rsid w:val="00417C7D"/>
    <w:rsid w:val="00427696"/>
    <w:rsid w:val="004A303D"/>
    <w:rsid w:val="004A4EC5"/>
    <w:rsid w:val="00512C24"/>
    <w:rsid w:val="00552278"/>
    <w:rsid w:val="005B33B1"/>
    <w:rsid w:val="005B3DDA"/>
    <w:rsid w:val="005E53AE"/>
    <w:rsid w:val="00602363"/>
    <w:rsid w:val="00692FE1"/>
    <w:rsid w:val="00697A0E"/>
    <w:rsid w:val="007A6A5E"/>
    <w:rsid w:val="007A6BB3"/>
    <w:rsid w:val="007E000B"/>
    <w:rsid w:val="00812011"/>
    <w:rsid w:val="0088714D"/>
    <w:rsid w:val="008A299A"/>
    <w:rsid w:val="009202F4"/>
    <w:rsid w:val="00926C96"/>
    <w:rsid w:val="00995A4F"/>
    <w:rsid w:val="00A31998"/>
    <w:rsid w:val="00A46D88"/>
    <w:rsid w:val="00A961CC"/>
    <w:rsid w:val="00AA6FF2"/>
    <w:rsid w:val="00B0539A"/>
    <w:rsid w:val="00B54DF1"/>
    <w:rsid w:val="00BB0F3C"/>
    <w:rsid w:val="00C97319"/>
    <w:rsid w:val="00CB4E93"/>
    <w:rsid w:val="00CF7A49"/>
    <w:rsid w:val="00D33F08"/>
    <w:rsid w:val="00D417F8"/>
    <w:rsid w:val="00D95386"/>
    <w:rsid w:val="00DC54F2"/>
    <w:rsid w:val="00E151F2"/>
    <w:rsid w:val="00E17723"/>
    <w:rsid w:val="00E5159B"/>
    <w:rsid w:val="00ED6A64"/>
    <w:rsid w:val="00FA09D7"/>
    <w:rsid w:val="00FA3C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E27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aliases w:val="Art.,Hoofdstuk"/>
    <w:basedOn w:val="Standaard"/>
    <w:next w:val="Standaard"/>
    <w:link w:val="Kop1Teken"/>
    <w:uiPriority w:val="9"/>
    <w:qFormat/>
    <w:rsid w:val="00AA6FF2"/>
    <w:pPr>
      <w:spacing w:after="0" w:line="240" w:lineRule="auto"/>
      <w:jc w:val="both"/>
      <w:outlineLvl w:val="0"/>
    </w:pPr>
    <w:rPr>
      <w:rFonts w:ascii="Times New Roman" w:eastAsia="Times New Roman" w:hAnsi="Times New Roman" w:cs="Times New Roman"/>
      <w:sz w:val="20"/>
      <w:szCs w:val="20"/>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aliases w:val="Art. Teken,Hoofdstuk Teken"/>
    <w:basedOn w:val="Standaardalinea-lettertype"/>
    <w:link w:val="Kop1"/>
    <w:uiPriority w:val="9"/>
    <w:rsid w:val="00AA6FF2"/>
    <w:rPr>
      <w:rFonts w:ascii="Times New Roman" w:eastAsia="Times New Roman" w:hAnsi="Times New Roman" w:cs="Times New Roman"/>
      <w:sz w:val="20"/>
      <w:szCs w:val="20"/>
      <w:u w:val="single"/>
      <w:lang w:val="nl-BE"/>
    </w:rPr>
  </w:style>
  <w:style w:type="paragraph" w:customStyle="1" w:styleId="Afdeling">
    <w:name w:val="Afdeling"/>
    <w:basedOn w:val="Kop1"/>
    <w:rsid w:val="00AA6FF2"/>
    <w:pPr>
      <w:jc w:val="center"/>
    </w:pPr>
    <w:rPr>
      <w:rFonts w:ascii="Palatino Linotype" w:hAnsi="Palatino Linotype"/>
      <w:b/>
      <w:bCs/>
      <w:i/>
      <w:iCs/>
      <w:snapToGrid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3923-EEF0-B24C-8FCB-0577E4BB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2992</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40</cp:revision>
  <dcterms:created xsi:type="dcterms:W3CDTF">2019-10-18T10:25:00Z</dcterms:created>
  <dcterms:modified xsi:type="dcterms:W3CDTF">2021-10-20T18:43:00Z</dcterms:modified>
</cp:coreProperties>
</file>