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D2AB78B" w14:textId="77777777" w:rsidTr="00E17723">
        <w:tc>
          <w:tcPr>
            <w:tcW w:w="1980" w:type="dxa"/>
          </w:tcPr>
          <w:p w14:paraId="696EA9CE" w14:textId="77777777" w:rsidR="000D42B6" w:rsidRPr="00B07AC9" w:rsidRDefault="000D42B6" w:rsidP="004E790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849E2">
              <w:rPr>
                <w:b/>
                <w:sz w:val="32"/>
                <w:szCs w:val="32"/>
                <w:lang w:val="nl-BE"/>
              </w:rPr>
              <w:t>48</w:t>
            </w:r>
          </w:p>
        </w:tc>
        <w:tc>
          <w:tcPr>
            <w:tcW w:w="11765" w:type="dxa"/>
            <w:gridSpan w:val="2"/>
            <w:shd w:val="clear" w:color="auto" w:fill="auto"/>
          </w:tcPr>
          <w:p w14:paraId="55753979" w14:textId="77777777" w:rsidR="000D42B6" w:rsidRPr="00382324" w:rsidRDefault="000D42B6" w:rsidP="004E7904">
            <w:pPr>
              <w:rPr>
                <w:rFonts w:asciiTheme="majorHAnsi" w:eastAsiaTheme="majorEastAsia" w:hAnsiTheme="majorHAnsi" w:cstheme="majorBidi"/>
                <w:b/>
                <w:bCs/>
                <w:color w:val="2E74B5" w:themeColor="accent1" w:themeShade="BF"/>
                <w:sz w:val="32"/>
                <w:szCs w:val="28"/>
                <w:lang w:val="nl-BE"/>
              </w:rPr>
            </w:pPr>
          </w:p>
        </w:tc>
      </w:tr>
      <w:tr w:rsidR="005B33B1" w:rsidRPr="002A763A" w14:paraId="631A41D5" w14:textId="77777777" w:rsidTr="00E17723">
        <w:tc>
          <w:tcPr>
            <w:tcW w:w="1980" w:type="dxa"/>
          </w:tcPr>
          <w:p w14:paraId="3AD00824" w14:textId="77777777" w:rsidR="005B33B1" w:rsidRPr="00B07AC9" w:rsidRDefault="005B33B1" w:rsidP="004E7904">
            <w:pPr>
              <w:rPr>
                <w:b/>
                <w:sz w:val="32"/>
                <w:szCs w:val="32"/>
                <w:lang w:val="nl-BE"/>
              </w:rPr>
            </w:pPr>
          </w:p>
        </w:tc>
        <w:tc>
          <w:tcPr>
            <w:tcW w:w="11765" w:type="dxa"/>
            <w:gridSpan w:val="2"/>
            <w:shd w:val="clear" w:color="auto" w:fill="auto"/>
          </w:tcPr>
          <w:p w14:paraId="59D53334" w14:textId="77777777" w:rsidR="005B33B1" w:rsidRPr="00382324" w:rsidRDefault="005B33B1" w:rsidP="004E7904">
            <w:pPr>
              <w:rPr>
                <w:rFonts w:asciiTheme="majorHAnsi" w:eastAsiaTheme="majorEastAsia" w:hAnsiTheme="majorHAnsi" w:cstheme="majorBidi"/>
                <w:b/>
                <w:bCs/>
                <w:color w:val="2E74B5" w:themeColor="accent1" w:themeShade="BF"/>
                <w:sz w:val="32"/>
                <w:szCs w:val="28"/>
                <w:lang w:val="nl-BE"/>
              </w:rPr>
            </w:pPr>
          </w:p>
        </w:tc>
      </w:tr>
      <w:tr w:rsidR="00D849E2" w:rsidRPr="004E7904" w14:paraId="108278B0" w14:textId="77777777" w:rsidTr="004E7904">
        <w:trPr>
          <w:trHeight w:val="377"/>
        </w:trPr>
        <w:tc>
          <w:tcPr>
            <w:tcW w:w="1980" w:type="dxa"/>
          </w:tcPr>
          <w:p w14:paraId="015C7075" w14:textId="77777777" w:rsidR="00D849E2" w:rsidRDefault="00D849E2" w:rsidP="004E7904">
            <w:pPr>
              <w:spacing w:after="0" w:line="240" w:lineRule="auto"/>
              <w:jc w:val="both"/>
              <w:rPr>
                <w:rFonts w:cs="Calibri"/>
                <w:lang w:val="nl-BE"/>
              </w:rPr>
            </w:pPr>
            <w:r>
              <w:rPr>
                <w:rFonts w:cs="Calibri"/>
                <w:lang w:val="nl-BE"/>
              </w:rPr>
              <w:t>WVV</w:t>
            </w:r>
          </w:p>
        </w:tc>
        <w:tc>
          <w:tcPr>
            <w:tcW w:w="5812" w:type="dxa"/>
            <w:shd w:val="clear" w:color="auto" w:fill="auto"/>
          </w:tcPr>
          <w:p w14:paraId="5252F771" w14:textId="77777777" w:rsidR="00D849E2" w:rsidRPr="004E7904" w:rsidRDefault="00D849E2" w:rsidP="004E7904">
            <w:pPr>
              <w:spacing w:after="0" w:line="240" w:lineRule="auto"/>
              <w:jc w:val="both"/>
              <w:rPr>
                <w:rFonts w:cs="Calibri"/>
                <w:lang w:val="nl-NL"/>
              </w:rPr>
            </w:pPr>
            <w:r w:rsidRPr="003237CC">
              <w:rPr>
                <w:rFonts w:cs="Calibri"/>
                <w:lang w:val="nl-NL"/>
              </w:rPr>
              <w:t>Tenzij de statuten anders bepalen, geeft elk aandeel recht op een deel in de winst en in het vereffeningssaldo evenredig met het deel dat dit aandeel in het kapitaal vertegenwoordigt.</w:t>
            </w:r>
          </w:p>
        </w:tc>
        <w:tc>
          <w:tcPr>
            <w:tcW w:w="5953" w:type="dxa"/>
            <w:shd w:val="clear" w:color="auto" w:fill="auto"/>
          </w:tcPr>
          <w:p w14:paraId="53EB9A12" w14:textId="77777777" w:rsidR="00D849E2" w:rsidRPr="00A527CC" w:rsidRDefault="00D849E2" w:rsidP="004E7904">
            <w:pPr>
              <w:spacing w:after="0" w:line="240" w:lineRule="auto"/>
              <w:jc w:val="both"/>
              <w:rPr>
                <w:rFonts w:cs="Calibri"/>
                <w:lang w:val="fr-FR"/>
              </w:rPr>
            </w:pPr>
            <w:r w:rsidRPr="003237CC">
              <w:rPr>
                <w:rFonts w:cs="Calibri"/>
                <w:lang w:val="fr-FR"/>
              </w:rPr>
              <w:t>Sauf disposition statutaire contraire, chaque action donne droit à une part du bénéfice et du solde de liquidation proportionnelle à la part qu’elle représente dans le capital.</w:t>
            </w:r>
          </w:p>
        </w:tc>
      </w:tr>
      <w:tr w:rsidR="005C2F1C" w:rsidRPr="004E7904" w14:paraId="389972B8" w14:textId="77777777" w:rsidTr="004E7904">
        <w:trPr>
          <w:trHeight w:val="377"/>
        </w:trPr>
        <w:tc>
          <w:tcPr>
            <w:tcW w:w="1980" w:type="dxa"/>
          </w:tcPr>
          <w:p w14:paraId="785CAABC" w14:textId="77777777" w:rsidR="005C2F1C" w:rsidRDefault="005C2F1C"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160EF459" w14:textId="77777777" w:rsidR="005C2F1C" w:rsidRPr="00DC2B42" w:rsidRDefault="005C2F1C" w:rsidP="002A31B3">
            <w:pPr>
              <w:spacing w:after="0" w:line="240" w:lineRule="auto"/>
              <w:jc w:val="both"/>
              <w:rPr>
                <w:rFonts w:cs="Calibri"/>
                <w:lang w:val="nl-BE"/>
              </w:rPr>
            </w:pPr>
            <w:r w:rsidRPr="00DC2B42">
              <w:rPr>
                <w:rFonts w:cs="Calibri"/>
                <w:lang w:val="nl-BE"/>
              </w:rPr>
              <w:t>Art. 7:48. Tenzij de statuten anders bepalen, geeft elk aandeel recht op een deel in de winst en in het vereffeningssaldo evenredig met het deel dat dit aandeel in het kapitaal vertegenwoordigt.</w:t>
            </w:r>
          </w:p>
        </w:tc>
        <w:tc>
          <w:tcPr>
            <w:tcW w:w="5953" w:type="dxa"/>
            <w:shd w:val="clear" w:color="auto" w:fill="auto"/>
          </w:tcPr>
          <w:p w14:paraId="56C0AC29" w14:textId="77777777" w:rsidR="005C2F1C" w:rsidRPr="00DC2B42" w:rsidRDefault="005C2F1C" w:rsidP="002A31B3">
            <w:pPr>
              <w:spacing w:after="0" w:line="240" w:lineRule="auto"/>
              <w:jc w:val="both"/>
              <w:rPr>
                <w:rFonts w:cs="Calibri"/>
                <w:lang w:val="fr-FR"/>
              </w:rPr>
            </w:pPr>
            <w:r w:rsidRPr="00DC2B42">
              <w:rPr>
                <w:rFonts w:cs="Calibri"/>
                <w:lang w:val="fr-FR"/>
              </w:rPr>
              <w:t xml:space="preserve">Art. </w:t>
            </w:r>
            <w:proofErr w:type="gramStart"/>
            <w:r w:rsidRPr="00DC2B42">
              <w:rPr>
                <w:rFonts w:cs="Calibri"/>
                <w:lang w:val="fr-FR"/>
              </w:rPr>
              <w:t>7:</w:t>
            </w:r>
            <w:proofErr w:type="gramEnd"/>
            <w:r w:rsidRPr="00DC2B42">
              <w:rPr>
                <w:rFonts w:cs="Calibri"/>
                <w:lang w:val="fr-FR"/>
              </w:rPr>
              <w:t>48. Sauf disposition statutaire contraire, chaque action donne droit à une part du bénéfice et du solde de liquidation proportionnelle à la part qu’elle représente dans le capital.</w:t>
            </w:r>
          </w:p>
        </w:tc>
      </w:tr>
      <w:tr w:rsidR="005C2F1C" w:rsidRPr="00B91C8E" w14:paraId="264EE171" w14:textId="77777777" w:rsidTr="004E7904">
        <w:trPr>
          <w:trHeight w:val="377"/>
        </w:trPr>
        <w:tc>
          <w:tcPr>
            <w:tcW w:w="1980" w:type="dxa"/>
          </w:tcPr>
          <w:p w14:paraId="71D2BDCE" w14:textId="77777777" w:rsidR="005C2F1C" w:rsidRPr="00B91C8E" w:rsidRDefault="005C2F1C" w:rsidP="004E7904">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CC8742F" w14:textId="77777777" w:rsidR="005C2F1C" w:rsidRPr="00B91C8E" w:rsidRDefault="005C2F1C" w:rsidP="004E7904">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711DFBB9" w14:textId="77777777" w:rsidR="005C2F1C" w:rsidRPr="003237CC" w:rsidRDefault="005C2F1C" w:rsidP="004E7904">
            <w:pPr>
              <w:spacing w:after="0" w:line="240" w:lineRule="auto"/>
              <w:jc w:val="both"/>
              <w:rPr>
                <w:rFonts w:cs="Calibri"/>
                <w:lang w:val="fr-FR"/>
              </w:rPr>
            </w:pPr>
            <w:r>
              <w:rPr>
                <w:rFonts w:cs="Calibri"/>
                <w:lang w:val="fr-FR"/>
              </w:rPr>
              <w:t>Pas d’article.</w:t>
            </w:r>
          </w:p>
        </w:tc>
      </w:tr>
      <w:tr w:rsidR="005C2F1C" w:rsidRPr="00206BC9" w14:paraId="5E0CAE82" w14:textId="77777777" w:rsidTr="004E7904">
        <w:trPr>
          <w:trHeight w:val="377"/>
        </w:trPr>
        <w:tc>
          <w:tcPr>
            <w:tcW w:w="1980" w:type="dxa"/>
          </w:tcPr>
          <w:p w14:paraId="3B2B81FF" w14:textId="77777777" w:rsidR="005C2F1C" w:rsidRDefault="005C2F1C" w:rsidP="004E7904">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0F26D43A" w14:textId="77777777" w:rsidR="005C2F1C" w:rsidRPr="00BE221B" w:rsidRDefault="005C2F1C" w:rsidP="004E7904">
            <w:pPr>
              <w:spacing w:after="0" w:line="240" w:lineRule="auto"/>
              <w:jc w:val="both"/>
              <w:rPr>
                <w:lang w:val="nl-BE"/>
              </w:rPr>
            </w:pPr>
            <w:r w:rsidRPr="003237CC">
              <w:rPr>
                <w:lang w:val="nl-BE"/>
              </w:rPr>
              <w:t>Deze bepaling bevestigt de bestaande suppletiefrechtelijke regel dat het winstrecht verbonden aan een aandeel in beginsel proportioneel is aan zijn kapitaalvertegenwoordigende waarde. Deze onbetwiste regel werd in het Wetboek van vennootschappen nochtans niet uitdrukkelijk geformuleerd, maar werd afgeleid uit artikel 30 W.Venn. Het wetboek in ontwerp bevat geen dergelijke algemene bepaling meer, nu  er geen boek met regels gemeen aan alle vennootschapen meer is. Een specifieke bepaling voor de NV is daarom noodzakelijk.</w:t>
            </w:r>
          </w:p>
        </w:tc>
        <w:tc>
          <w:tcPr>
            <w:tcW w:w="5953" w:type="dxa"/>
            <w:shd w:val="clear" w:color="auto" w:fill="auto"/>
          </w:tcPr>
          <w:p w14:paraId="5FA87E93" w14:textId="77777777" w:rsidR="005C2F1C" w:rsidRPr="003C3446" w:rsidRDefault="005C2F1C" w:rsidP="004E7904">
            <w:pPr>
              <w:spacing w:after="0" w:line="240" w:lineRule="auto"/>
              <w:jc w:val="both"/>
              <w:rPr>
                <w:lang w:val="fr-FR"/>
              </w:rPr>
            </w:pPr>
            <w:r w:rsidRPr="003237CC">
              <w:rPr>
                <w:lang w:val="fr-FR"/>
              </w:rPr>
              <w:t xml:space="preserve">Cette disposition confirme la règle supplétive selon laquelle le droit au bénéfice lié à l’action est proportionnel à la part qu’elle représente dans le capital. Cette règle bien établie n’était cependant pas énoncée expressément dans le Code des sociétés, mais était déduite de l’article 30 </w:t>
            </w:r>
            <w:proofErr w:type="spellStart"/>
            <w:proofErr w:type="gramStart"/>
            <w:r w:rsidRPr="003237CC">
              <w:rPr>
                <w:lang w:val="fr-FR"/>
              </w:rPr>
              <w:t>C.Soc</w:t>
            </w:r>
            <w:proofErr w:type="spellEnd"/>
            <w:proofErr w:type="gramEnd"/>
            <w:r w:rsidRPr="003237CC">
              <w:rPr>
                <w:lang w:val="fr-FR"/>
              </w:rPr>
              <w:t xml:space="preserve">. Le code en projet ne comporte plus une telle disposition </w:t>
            </w:r>
            <w:proofErr w:type="gramStart"/>
            <w:r w:rsidRPr="003237CC">
              <w:rPr>
                <w:lang w:val="fr-FR"/>
              </w:rPr>
              <w:t>générale,  puisqu’il</w:t>
            </w:r>
            <w:proofErr w:type="gramEnd"/>
            <w:r w:rsidRPr="003237CC">
              <w:rPr>
                <w:lang w:val="fr-FR"/>
              </w:rPr>
              <w:t xml:space="preserve"> n’y a plus de livre comportant des règles applicables à toutes les sociétés. </w:t>
            </w:r>
            <w:r w:rsidRPr="003237CC">
              <w:rPr>
                <w:lang w:val="nl-BE"/>
              </w:rPr>
              <w:t>Une disposition spécifique pour la SA s’imposait donc.</w:t>
            </w:r>
          </w:p>
        </w:tc>
      </w:tr>
      <w:tr w:rsidR="005C2F1C" w:rsidRPr="00206BC9" w14:paraId="59A4651B" w14:textId="77777777" w:rsidTr="004E7904">
        <w:trPr>
          <w:trHeight w:val="377"/>
        </w:trPr>
        <w:tc>
          <w:tcPr>
            <w:tcW w:w="1980" w:type="dxa"/>
          </w:tcPr>
          <w:p w14:paraId="278F9AA7" w14:textId="77777777" w:rsidR="005C2F1C" w:rsidRDefault="005C2F1C" w:rsidP="004E7904">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B2CC1F3" w14:textId="77777777" w:rsidR="005C2F1C" w:rsidRPr="003237CC" w:rsidRDefault="005C2F1C" w:rsidP="004E7904">
            <w:pPr>
              <w:spacing w:after="0" w:line="240" w:lineRule="auto"/>
              <w:jc w:val="both"/>
              <w:rPr>
                <w:lang w:val="nl-BE"/>
              </w:rPr>
            </w:pPr>
            <w:r>
              <w:rPr>
                <w:lang w:val="nl-BE"/>
              </w:rPr>
              <w:t>Geen opmerkingen.</w:t>
            </w:r>
          </w:p>
        </w:tc>
        <w:tc>
          <w:tcPr>
            <w:tcW w:w="5953" w:type="dxa"/>
            <w:shd w:val="clear" w:color="auto" w:fill="auto"/>
          </w:tcPr>
          <w:p w14:paraId="0F19537C" w14:textId="77777777" w:rsidR="005C2F1C" w:rsidRPr="003237CC" w:rsidRDefault="005C2F1C" w:rsidP="004E7904">
            <w:pPr>
              <w:spacing w:after="0" w:line="240" w:lineRule="auto"/>
              <w:jc w:val="both"/>
              <w:rPr>
                <w:lang w:val="fr-FR"/>
              </w:rPr>
            </w:pPr>
            <w:r>
              <w:rPr>
                <w:lang w:val="fr-FR"/>
              </w:rPr>
              <w:t>Pas de remarques.</w:t>
            </w:r>
          </w:p>
        </w:tc>
      </w:tr>
      <w:tr w:rsidR="005C2F1C" w:rsidRPr="004E7904" w14:paraId="200B4811" w14:textId="77777777" w:rsidTr="004E7904">
        <w:trPr>
          <w:trHeight w:val="377"/>
        </w:trPr>
        <w:tc>
          <w:tcPr>
            <w:tcW w:w="1980" w:type="dxa"/>
          </w:tcPr>
          <w:p w14:paraId="12C7AB55" w14:textId="77777777" w:rsidR="005C2F1C" w:rsidRDefault="005C2F1C" w:rsidP="004E7904">
            <w:pPr>
              <w:spacing w:after="0" w:line="240" w:lineRule="auto"/>
              <w:jc w:val="both"/>
              <w:rPr>
                <w:rFonts w:cs="Calibri"/>
                <w:lang w:val="fr-FR"/>
              </w:rPr>
            </w:pPr>
            <w:r>
              <w:rPr>
                <w:rFonts w:cs="Calibri"/>
                <w:lang w:val="fr-FR"/>
              </w:rPr>
              <w:t>RvSt2</w:t>
            </w:r>
          </w:p>
        </w:tc>
        <w:tc>
          <w:tcPr>
            <w:tcW w:w="5812" w:type="dxa"/>
            <w:shd w:val="clear" w:color="auto" w:fill="auto"/>
          </w:tcPr>
          <w:p w14:paraId="11048C49" w14:textId="77777777" w:rsidR="005C2F1C" w:rsidRPr="00206BC9" w:rsidRDefault="005C2F1C" w:rsidP="004E7904">
            <w:pPr>
              <w:autoSpaceDE w:val="0"/>
              <w:autoSpaceDN w:val="0"/>
              <w:adjustRightInd w:val="0"/>
              <w:spacing w:after="0" w:line="240" w:lineRule="auto"/>
              <w:jc w:val="both"/>
              <w:rPr>
                <w:rFonts w:eastAsia="Times New Roman" w:cs="Arial"/>
                <w:color w:val="FF0000"/>
                <w:lang w:val="nl-BE" w:eastAsia="fr-FR"/>
              </w:rPr>
            </w:pPr>
            <w:r w:rsidRPr="00206BC9">
              <w:rPr>
                <w:rFonts w:cstheme="minorHAnsi"/>
                <w:szCs w:val="18"/>
                <w:lang w:val="nl-BE"/>
              </w:rPr>
              <w:t xml:space="preserve">De wetgever wordt verzocht zich af te vragen of in dit artikel niet een identieke of gelijkaardige zin als de eerste zin van het ontworpen artikel 5:41 moet worden opgenomen, ter wille van de eenvormigheid en teneinde interpretaties </w:t>
            </w:r>
            <w:r w:rsidRPr="00206BC9">
              <w:rPr>
                <w:rFonts w:cstheme="minorHAnsi"/>
                <w:i/>
                <w:iCs/>
                <w:szCs w:val="18"/>
                <w:lang w:val="nl-BE"/>
              </w:rPr>
              <w:t xml:space="preserve">a contrario </w:t>
            </w:r>
            <w:r w:rsidRPr="00206BC9">
              <w:rPr>
                <w:rFonts w:cstheme="minorHAnsi"/>
                <w:szCs w:val="18"/>
                <w:lang w:val="nl-BE"/>
              </w:rPr>
              <w:t>te vermijden.</w:t>
            </w:r>
          </w:p>
        </w:tc>
        <w:tc>
          <w:tcPr>
            <w:tcW w:w="5953" w:type="dxa"/>
            <w:shd w:val="clear" w:color="auto" w:fill="auto"/>
          </w:tcPr>
          <w:p w14:paraId="76868D08" w14:textId="77777777" w:rsidR="005C2F1C" w:rsidRPr="00206BC9" w:rsidRDefault="005C2F1C" w:rsidP="004E7904">
            <w:pPr>
              <w:spacing w:after="0" w:line="240" w:lineRule="auto"/>
              <w:jc w:val="both"/>
              <w:rPr>
                <w:lang w:val="fr-BE"/>
              </w:rPr>
            </w:pPr>
            <w:r w:rsidRPr="00206BC9">
              <w:rPr>
                <w:lang w:val="fr-BE"/>
              </w:rPr>
              <w:t xml:space="preserve">Le législateur est invité à se demander s’il ne faudrait pas inclure dans cet article une phrase identique ou similaire à la première phrase de l’article 5:41 en projet, par souci d’uniformité et pour éviter les interprétations </w:t>
            </w:r>
            <w:r w:rsidRPr="00206BC9">
              <w:rPr>
                <w:i/>
                <w:lang w:val="fr-BE"/>
              </w:rPr>
              <w:t>a contrario</w:t>
            </w:r>
            <w:r w:rsidRPr="00206BC9">
              <w:rPr>
                <w:lang w:val="fr-BE"/>
              </w:rPr>
              <w:t>.</w:t>
            </w:r>
          </w:p>
          <w:p w14:paraId="22DD54CF" w14:textId="77777777" w:rsidR="005C2F1C" w:rsidRPr="00206BC9" w:rsidRDefault="005C2F1C" w:rsidP="004E7904">
            <w:pPr>
              <w:spacing w:after="0" w:line="240" w:lineRule="auto"/>
              <w:jc w:val="both"/>
              <w:rPr>
                <w:color w:val="FF0000"/>
                <w:lang w:val="fr-BE"/>
              </w:rPr>
            </w:pPr>
          </w:p>
        </w:tc>
      </w:tr>
    </w:tbl>
    <w:p w14:paraId="6BD876DC" w14:textId="77777777" w:rsidR="000D42B6" w:rsidRPr="00DC2B42" w:rsidRDefault="000D42B6">
      <w:pPr>
        <w:rPr>
          <w:lang w:val="fr-FR"/>
        </w:rPr>
      </w:pPr>
    </w:p>
    <w:sectPr w:rsidR="000D42B6" w:rsidRPr="00DC2B4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8523" w14:textId="77777777" w:rsidR="004D3399" w:rsidRDefault="004D3399" w:rsidP="000D42B6">
      <w:pPr>
        <w:spacing w:after="0" w:line="240" w:lineRule="auto"/>
      </w:pPr>
      <w:r>
        <w:separator/>
      </w:r>
    </w:p>
  </w:endnote>
  <w:endnote w:type="continuationSeparator" w:id="0">
    <w:p w14:paraId="1F9886BE" w14:textId="77777777" w:rsidR="004D3399" w:rsidRDefault="004D339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C55F" w14:textId="77777777" w:rsidR="004D3399" w:rsidRDefault="004D3399" w:rsidP="000D42B6">
      <w:pPr>
        <w:spacing w:after="0" w:line="240" w:lineRule="auto"/>
      </w:pPr>
      <w:r>
        <w:separator/>
      </w:r>
    </w:p>
  </w:footnote>
  <w:footnote w:type="continuationSeparator" w:id="0">
    <w:p w14:paraId="6E8CEAD3" w14:textId="77777777" w:rsidR="004D3399" w:rsidRDefault="004D339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D42B6"/>
    <w:rsid w:val="000E0E04"/>
    <w:rsid w:val="000F6EBF"/>
    <w:rsid w:val="00124FFC"/>
    <w:rsid w:val="001374D6"/>
    <w:rsid w:val="00170F2D"/>
    <w:rsid w:val="001777AA"/>
    <w:rsid w:val="00195659"/>
    <w:rsid w:val="00196D12"/>
    <w:rsid w:val="001B7299"/>
    <w:rsid w:val="00200CB2"/>
    <w:rsid w:val="00206BC9"/>
    <w:rsid w:val="00294C7A"/>
    <w:rsid w:val="003050EA"/>
    <w:rsid w:val="00324863"/>
    <w:rsid w:val="00346D75"/>
    <w:rsid w:val="0036539D"/>
    <w:rsid w:val="00393BDA"/>
    <w:rsid w:val="003D55CF"/>
    <w:rsid w:val="004104D8"/>
    <w:rsid w:val="00417C7D"/>
    <w:rsid w:val="00427696"/>
    <w:rsid w:val="00443B76"/>
    <w:rsid w:val="0046207D"/>
    <w:rsid w:val="004A303D"/>
    <w:rsid w:val="004A4EC5"/>
    <w:rsid w:val="004D3399"/>
    <w:rsid w:val="004E7904"/>
    <w:rsid w:val="00512C24"/>
    <w:rsid w:val="00552278"/>
    <w:rsid w:val="005B33B1"/>
    <w:rsid w:val="005B3DDA"/>
    <w:rsid w:val="005C2F1C"/>
    <w:rsid w:val="005E53AE"/>
    <w:rsid w:val="00602363"/>
    <w:rsid w:val="00697A0E"/>
    <w:rsid w:val="00790CDA"/>
    <w:rsid w:val="007A6A5E"/>
    <w:rsid w:val="007E000B"/>
    <w:rsid w:val="00812011"/>
    <w:rsid w:val="00847850"/>
    <w:rsid w:val="008A299A"/>
    <w:rsid w:val="009202F4"/>
    <w:rsid w:val="00926C96"/>
    <w:rsid w:val="00995A4F"/>
    <w:rsid w:val="00A31998"/>
    <w:rsid w:val="00A36E85"/>
    <w:rsid w:val="00A46D88"/>
    <w:rsid w:val="00A961CC"/>
    <w:rsid w:val="00B0539A"/>
    <w:rsid w:val="00B61010"/>
    <w:rsid w:val="00B77107"/>
    <w:rsid w:val="00B91C8E"/>
    <w:rsid w:val="00BB0F3C"/>
    <w:rsid w:val="00C97319"/>
    <w:rsid w:val="00C97B09"/>
    <w:rsid w:val="00CB4E93"/>
    <w:rsid w:val="00CF7A49"/>
    <w:rsid w:val="00D33F08"/>
    <w:rsid w:val="00D417F8"/>
    <w:rsid w:val="00D849E2"/>
    <w:rsid w:val="00D95386"/>
    <w:rsid w:val="00DC2B42"/>
    <w:rsid w:val="00DC54F2"/>
    <w:rsid w:val="00DD6A68"/>
    <w:rsid w:val="00E151F2"/>
    <w:rsid w:val="00E17723"/>
    <w:rsid w:val="00E315B9"/>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79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CD90-BB3C-AA45-9B62-CE18B023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57</cp:revision>
  <dcterms:created xsi:type="dcterms:W3CDTF">2019-10-18T10:25:00Z</dcterms:created>
  <dcterms:modified xsi:type="dcterms:W3CDTF">2021-10-25T08:53:00Z</dcterms:modified>
</cp:coreProperties>
</file>