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433760" w14:paraId="3205896F" w14:textId="77777777" w:rsidTr="00D547AD">
        <w:tc>
          <w:tcPr>
            <w:tcW w:w="2122" w:type="dxa"/>
          </w:tcPr>
          <w:p w14:paraId="4C9E5EE5"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C246AA">
              <w:rPr>
                <w:b/>
                <w:sz w:val="32"/>
                <w:szCs w:val="32"/>
                <w:lang w:val="nl-BE"/>
              </w:rPr>
              <w:t>:16</w:t>
            </w:r>
          </w:p>
        </w:tc>
        <w:tc>
          <w:tcPr>
            <w:tcW w:w="11623" w:type="dxa"/>
            <w:gridSpan w:val="2"/>
            <w:shd w:val="clear" w:color="auto" w:fill="auto"/>
          </w:tcPr>
          <w:p w14:paraId="72AB55C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20A7185E" w14:textId="77777777" w:rsidTr="00D547AD">
        <w:tc>
          <w:tcPr>
            <w:tcW w:w="2122" w:type="dxa"/>
          </w:tcPr>
          <w:p w14:paraId="19762358" w14:textId="77777777" w:rsidR="005B33B1" w:rsidRPr="00B07AC9" w:rsidRDefault="005B33B1" w:rsidP="000D42B6">
            <w:pPr>
              <w:rPr>
                <w:b/>
                <w:sz w:val="32"/>
                <w:szCs w:val="32"/>
                <w:lang w:val="nl-BE"/>
              </w:rPr>
            </w:pPr>
          </w:p>
        </w:tc>
        <w:tc>
          <w:tcPr>
            <w:tcW w:w="11623" w:type="dxa"/>
            <w:gridSpan w:val="2"/>
            <w:shd w:val="clear" w:color="auto" w:fill="auto"/>
          </w:tcPr>
          <w:p w14:paraId="6436AD6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C246AA" w:rsidRPr="00B43AF5" w14:paraId="3B11D026" w14:textId="77777777" w:rsidTr="000E1272">
        <w:trPr>
          <w:trHeight w:val="377"/>
        </w:trPr>
        <w:tc>
          <w:tcPr>
            <w:tcW w:w="2122" w:type="dxa"/>
          </w:tcPr>
          <w:p w14:paraId="0B60A476" w14:textId="77777777" w:rsidR="00C246AA" w:rsidRDefault="00C246AA" w:rsidP="00C246AA">
            <w:pPr>
              <w:spacing w:after="0" w:line="240" w:lineRule="auto"/>
              <w:jc w:val="both"/>
              <w:rPr>
                <w:rFonts w:cs="Calibri"/>
                <w:lang w:val="nl-BE"/>
              </w:rPr>
            </w:pPr>
            <w:r>
              <w:rPr>
                <w:rFonts w:cs="Calibri"/>
                <w:lang w:val="nl-BE"/>
              </w:rPr>
              <w:t>WVV</w:t>
            </w:r>
          </w:p>
        </w:tc>
        <w:tc>
          <w:tcPr>
            <w:tcW w:w="5670" w:type="dxa"/>
            <w:shd w:val="clear" w:color="auto" w:fill="auto"/>
          </w:tcPr>
          <w:p w14:paraId="1591EC4E" w14:textId="77777777" w:rsidR="00C246AA" w:rsidRPr="0000305E" w:rsidRDefault="00C246AA" w:rsidP="00C246AA">
            <w:pPr>
              <w:spacing w:after="0" w:line="240" w:lineRule="auto"/>
              <w:jc w:val="both"/>
              <w:rPr>
                <w:rFonts w:cs="Calibri"/>
                <w:lang w:val="nl-BE"/>
              </w:rPr>
            </w:pPr>
            <w:r w:rsidRPr="00974F7C">
              <w:rPr>
                <w:rFonts w:cs="Calibri"/>
                <w:bCs/>
                <w:lang w:val="nl-BE"/>
              </w:rPr>
              <w:t>Wanneer de algemene vergadering beraadslaagt op grond van een door de commissaris opgesteld verslag, neemt hij deel aan de vergadering.</w:t>
            </w:r>
          </w:p>
        </w:tc>
        <w:tc>
          <w:tcPr>
            <w:tcW w:w="5953" w:type="dxa"/>
            <w:shd w:val="clear" w:color="auto" w:fill="auto"/>
          </w:tcPr>
          <w:p w14:paraId="1A2330F9" w14:textId="132E5E4D" w:rsidR="00C246AA" w:rsidRPr="00C246AA" w:rsidRDefault="00B43AF5" w:rsidP="00C246AA">
            <w:pPr>
              <w:spacing w:after="0" w:line="240" w:lineRule="auto"/>
              <w:jc w:val="both"/>
              <w:rPr>
                <w:rFonts w:cs="Calibri"/>
                <w:lang w:val="fr-FR"/>
              </w:rPr>
            </w:pPr>
            <w:r>
              <w:rPr>
                <w:rFonts w:cs="Calibri"/>
                <w:bCs/>
                <w:lang w:val="fr-BE"/>
              </w:rPr>
              <w:t>Lorsque l'</w:t>
            </w:r>
            <w:r w:rsidR="00C246AA" w:rsidRPr="00974F7C">
              <w:rPr>
                <w:rFonts w:cs="Calibri"/>
                <w:bCs/>
                <w:lang w:val="fr-BE"/>
              </w:rPr>
              <w:t xml:space="preserve">assemblée </w:t>
            </w:r>
            <w:r>
              <w:rPr>
                <w:rFonts w:cs="Calibri"/>
                <w:bCs/>
                <w:lang w:val="fr-BE"/>
              </w:rPr>
              <w:t>générale délibère sur la base d'</w:t>
            </w:r>
            <w:r w:rsidR="00C246AA" w:rsidRPr="00974F7C">
              <w:rPr>
                <w:rFonts w:cs="Calibri"/>
                <w:bCs/>
                <w:lang w:val="fr-BE"/>
              </w:rPr>
              <w:t xml:space="preserve">un rapport rédigé par le commissaire, </w:t>
            </w:r>
            <w:r>
              <w:rPr>
                <w:rFonts w:cs="Calibri"/>
                <w:bCs/>
                <w:lang w:val="fr-BE"/>
              </w:rPr>
              <w:t>celui-ci prend part à l'</w:t>
            </w:r>
            <w:r w:rsidR="00C246AA" w:rsidRPr="00974F7C">
              <w:rPr>
                <w:rFonts w:cs="Calibri"/>
                <w:bCs/>
                <w:lang w:val="fr-BE"/>
              </w:rPr>
              <w:t>assemblée.</w:t>
            </w:r>
          </w:p>
          <w:p w14:paraId="531A829E" w14:textId="77777777" w:rsidR="00C246AA" w:rsidRPr="00974F7C" w:rsidRDefault="00C246AA" w:rsidP="00C246AA">
            <w:pPr>
              <w:spacing w:after="0" w:line="240" w:lineRule="auto"/>
              <w:jc w:val="both"/>
              <w:rPr>
                <w:rFonts w:cs="Calibri"/>
                <w:lang w:val="fr-BE"/>
              </w:rPr>
            </w:pPr>
          </w:p>
        </w:tc>
      </w:tr>
      <w:tr w:rsidR="00E33430" w:rsidRPr="00E33430" w14:paraId="57393471" w14:textId="77777777" w:rsidTr="00A374D5">
        <w:trPr>
          <w:trHeight w:val="856"/>
        </w:trPr>
        <w:tc>
          <w:tcPr>
            <w:tcW w:w="2122" w:type="dxa"/>
          </w:tcPr>
          <w:p w14:paraId="2154B4D1" w14:textId="731A5E57" w:rsidR="00E33430" w:rsidRDefault="00E33430" w:rsidP="00C246AA">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49A97D7B" w14:textId="55A21A3A" w:rsidR="00E33430" w:rsidRPr="00974F7C" w:rsidRDefault="00E33430" w:rsidP="00C246AA">
            <w:pPr>
              <w:spacing w:after="0" w:line="240" w:lineRule="auto"/>
              <w:jc w:val="both"/>
              <w:rPr>
                <w:rFonts w:cs="Calibri"/>
                <w:bCs/>
                <w:lang w:val="nl-BE"/>
              </w:rPr>
            </w:pPr>
            <w:r w:rsidRPr="00BA6FE6">
              <w:rPr>
                <w:rFonts w:cs="Calibri"/>
                <w:bCs/>
                <w:lang w:val="nl-BE"/>
              </w:rPr>
              <w:t>Art. 9:16. Wanneer de algemene vergadering beraadslaagt op grond van een door de commissaris opgesteld verslag, neemt hij deel aan de vergadering.</w:t>
            </w:r>
          </w:p>
        </w:tc>
        <w:tc>
          <w:tcPr>
            <w:tcW w:w="5953" w:type="dxa"/>
            <w:shd w:val="clear" w:color="auto" w:fill="auto"/>
          </w:tcPr>
          <w:p w14:paraId="063FC36F" w14:textId="6DBC3E75" w:rsidR="00E33430" w:rsidRPr="00974F7C" w:rsidRDefault="00B43AF5" w:rsidP="00C246AA">
            <w:pPr>
              <w:spacing w:after="0" w:line="240" w:lineRule="auto"/>
              <w:jc w:val="both"/>
              <w:rPr>
                <w:rFonts w:cs="Calibri"/>
                <w:bCs/>
                <w:lang w:val="fr-BE"/>
              </w:rPr>
            </w:pPr>
            <w:r>
              <w:rPr>
                <w:rFonts w:cs="Calibri"/>
                <w:bCs/>
                <w:lang w:val="fr-FR"/>
              </w:rPr>
              <w:t xml:space="preserve">Art. </w:t>
            </w:r>
            <w:proofErr w:type="gramStart"/>
            <w:r>
              <w:rPr>
                <w:rFonts w:cs="Calibri"/>
                <w:bCs/>
                <w:lang w:val="fr-FR"/>
              </w:rPr>
              <w:t>9:</w:t>
            </w:r>
            <w:proofErr w:type="gramEnd"/>
            <w:r>
              <w:rPr>
                <w:rFonts w:cs="Calibri"/>
                <w:bCs/>
                <w:lang w:val="fr-FR"/>
              </w:rPr>
              <w:t>16. Lorsque l'</w:t>
            </w:r>
            <w:r w:rsidR="00E33430" w:rsidRPr="00BA6FE6">
              <w:rPr>
                <w:rFonts w:cs="Calibri"/>
                <w:bCs/>
                <w:lang w:val="fr-FR"/>
              </w:rPr>
              <w:t xml:space="preserve">assemblée </w:t>
            </w:r>
            <w:r>
              <w:rPr>
                <w:rFonts w:cs="Calibri"/>
                <w:bCs/>
                <w:lang w:val="fr-FR"/>
              </w:rPr>
              <w:t>générale délibère sur la base d'</w:t>
            </w:r>
            <w:r w:rsidR="00E33430" w:rsidRPr="00BA6FE6">
              <w:rPr>
                <w:rFonts w:cs="Calibri"/>
                <w:bCs/>
                <w:lang w:val="fr-FR"/>
              </w:rPr>
              <w:t>un rapport rédigé par le commi</w:t>
            </w:r>
            <w:r>
              <w:rPr>
                <w:rFonts w:cs="Calibri"/>
                <w:bCs/>
                <w:lang w:val="fr-FR"/>
              </w:rPr>
              <w:t>ssaire, celui-ci prend part à l'</w:t>
            </w:r>
            <w:r w:rsidR="00E33430" w:rsidRPr="00BA6FE6">
              <w:rPr>
                <w:rFonts w:cs="Calibri"/>
                <w:bCs/>
                <w:lang w:val="fr-FR"/>
              </w:rPr>
              <w:t>assemblée.</w:t>
            </w:r>
          </w:p>
        </w:tc>
      </w:tr>
      <w:tr w:rsidR="00E33430" w:rsidRPr="000E1272" w14:paraId="23BA06EE" w14:textId="77777777" w:rsidTr="000E1272">
        <w:trPr>
          <w:trHeight w:val="377"/>
        </w:trPr>
        <w:tc>
          <w:tcPr>
            <w:tcW w:w="2122" w:type="dxa"/>
          </w:tcPr>
          <w:p w14:paraId="356B1919" w14:textId="77777777" w:rsidR="00E33430" w:rsidRPr="00470F7F" w:rsidRDefault="00E33430" w:rsidP="00C246AA">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68AE9F02" w14:textId="77777777" w:rsidR="00E33430" w:rsidRPr="00470F7F" w:rsidRDefault="00E33430" w:rsidP="00C246AA">
            <w:pPr>
              <w:spacing w:after="0" w:line="240" w:lineRule="auto"/>
              <w:jc w:val="both"/>
              <w:rPr>
                <w:rFonts w:cs="Calibri"/>
                <w:bCs/>
                <w:lang w:val="nl-BE"/>
              </w:rPr>
            </w:pPr>
            <w:r w:rsidRPr="00470F7F">
              <w:rPr>
                <w:rFonts w:cs="Calibri"/>
                <w:bCs/>
                <w:lang w:val="nl-BE"/>
              </w:rPr>
              <w:t>Art. 9:16. Wanneer de algemene vergadering beraadslaagt op grond van een door de commissaris opgesteld verslag, neemt hij deel aan de vergadering.</w:t>
            </w:r>
          </w:p>
        </w:tc>
        <w:tc>
          <w:tcPr>
            <w:tcW w:w="5953" w:type="dxa"/>
            <w:shd w:val="clear" w:color="auto" w:fill="auto"/>
          </w:tcPr>
          <w:p w14:paraId="0E170225" w14:textId="3E9AE174" w:rsidR="00E33430" w:rsidRPr="00470F7F" w:rsidRDefault="00B43AF5" w:rsidP="00C246AA">
            <w:pPr>
              <w:spacing w:after="0" w:line="240" w:lineRule="auto"/>
              <w:jc w:val="both"/>
              <w:rPr>
                <w:rFonts w:cs="Calibri"/>
                <w:bCs/>
                <w:lang w:val="fr-FR"/>
              </w:rPr>
            </w:pPr>
            <w:r>
              <w:rPr>
                <w:rFonts w:cs="Calibri"/>
                <w:bCs/>
                <w:lang w:val="fr-FR"/>
              </w:rPr>
              <w:t xml:space="preserve">Art. </w:t>
            </w:r>
            <w:proofErr w:type="gramStart"/>
            <w:r>
              <w:rPr>
                <w:rFonts w:cs="Calibri"/>
                <w:bCs/>
                <w:lang w:val="fr-FR"/>
              </w:rPr>
              <w:t>9:</w:t>
            </w:r>
            <w:proofErr w:type="gramEnd"/>
            <w:r>
              <w:rPr>
                <w:rFonts w:cs="Calibri"/>
                <w:bCs/>
                <w:lang w:val="fr-FR"/>
              </w:rPr>
              <w:t>16. Lorsq</w:t>
            </w:r>
            <w:bookmarkStart w:id="0" w:name="_GoBack"/>
            <w:bookmarkEnd w:id="0"/>
            <w:r>
              <w:rPr>
                <w:rFonts w:cs="Calibri"/>
                <w:bCs/>
                <w:lang w:val="fr-FR"/>
              </w:rPr>
              <w:t>ue l'</w:t>
            </w:r>
            <w:r w:rsidR="00E33430" w:rsidRPr="00470F7F">
              <w:rPr>
                <w:rFonts w:cs="Calibri"/>
                <w:bCs/>
                <w:lang w:val="fr-FR"/>
              </w:rPr>
              <w:t>assemblée générale délibère sur la base</w:t>
            </w:r>
            <w:r>
              <w:rPr>
                <w:rFonts w:cs="Calibri"/>
                <w:bCs/>
                <w:lang w:val="fr-FR"/>
              </w:rPr>
              <w:t xml:space="preserve"> d'</w:t>
            </w:r>
            <w:r w:rsidR="00E33430" w:rsidRPr="00470F7F">
              <w:rPr>
                <w:rFonts w:cs="Calibri"/>
                <w:bCs/>
                <w:lang w:val="fr-FR"/>
              </w:rPr>
              <w:t>un rapport rédigé par le commi</w:t>
            </w:r>
            <w:r>
              <w:rPr>
                <w:rFonts w:cs="Calibri"/>
                <w:bCs/>
                <w:lang w:val="fr-FR"/>
              </w:rPr>
              <w:t>ssaire, celui-ci prend part à l'</w:t>
            </w:r>
            <w:r w:rsidR="00E33430" w:rsidRPr="00470F7F">
              <w:rPr>
                <w:rFonts w:cs="Calibri"/>
                <w:bCs/>
                <w:lang w:val="fr-FR"/>
              </w:rPr>
              <w:t>assemblée.</w:t>
            </w:r>
          </w:p>
        </w:tc>
      </w:tr>
      <w:tr w:rsidR="00E33430" w:rsidRPr="000E1272" w14:paraId="1A95746A" w14:textId="77777777" w:rsidTr="000E1272">
        <w:trPr>
          <w:trHeight w:val="377"/>
        </w:trPr>
        <w:tc>
          <w:tcPr>
            <w:tcW w:w="2122" w:type="dxa"/>
          </w:tcPr>
          <w:p w14:paraId="40C0DA11" w14:textId="77777777" w:rsidR="00E33430" w:rsidRDefault="00E33430" w:rsidP="00021383">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417AA414" w14:textId="77777777" w:rsidR="00E33430" w:rsidRPr="0000305E" w:rsidRDefault="00E33430" w:rsidP="00021383">
            <w:pPr>
              <w:spacing w:after="0" w:line="240" w:lineRule="auto"/>
              <w:jc w:val="both"/>
              <w:rPr>
                <w:lang w:val="nl-BE"/>
              </w:rPr>
            </w:pPr>
            <w:r w:rsidRPr="004A4705">
              <w:rPr>
                <w:lang w:val="nl-BE"/>
              </w:rPr>
              <w:t>Dit artikel herneemt artikel 17, § 9, tweede lid, v&amp;s-wet.</w:t>
            </w:r>
          </w:p>
        </w:tc>
        <w:tc>
          <w:tcPr>
            <w:tcW w:w="5953" w:type="dxa"/>
            <w:shd w:val="clear" w:color="auto" w:fill="auto"/>
          </w:tcPr>
          <w:p w14:paraId="18F56E4E" w14:textId="77777777" w:rsidR="00E33430" w:rsidRPr="004A4705" w:rsidRDefault="00E33430" w:rsidP="00021383">
            <w:pPr>
              <w:spacing w:after="0" w:line="240" w:lineRule="auto"/>
              <w:jc w:val="both"/>
              <w:rPr>
                <w:lang w:val="fr-FR"/>
              </w:rPr>
            </w:pPr>
            <w:r w:rsidRPr="004A4705">
              <w:rPr>
                <w:lang w:val="fr-FR"/>
              </w:rPr>
              <w:t xml:space="preserve">Cet article reprend l’article 17, § 9, alinéa 2, de la loi </w:t>
            </w:r>
            <w:proofErr w:type="spellStart"/>
            <w:r w:rsidRPr="004A4705">
              <w:rPr>
                <w:lang w:val="fr-FR"/>
              </w:rPr>
              <w:t>a&amp;f</w:t>
            </w:r>
            <w:proofErr w:type="spellEnd"/>
            <w:r w:rsidRPr="004A4705">
              <w:rPr>
                <w:lang w:val="fr-FR"/>
              </w:rPr>
              <w:t>.</w:t>
            </w:r>
          </w:p>
        </w:tc>
      </w:tr>
      <w:tr w:rsidR="00E33430" w:rsidRPr="00021383" w14:paraId="3E6FF994" w14:textId="77777777" w:rsidTr="000E1272">
        <w:trPr>
          <w:trHeight w:val="377"/>
        </w:trPr>
        <w:tc>
          <w:tcPr>
            <w:tcW w:w="2122" w:type="dxa"/>
          </w:tcPr>
          <w:p w14:paraId="729FC452" w14:textId="77777777" w:rsidR="00E33430" w:rsidRDefault="00E33430" w:rsidP="00021383">
            <w:pPr>
              <w:spacing w:after="0" w:line="240" w:lineRule="auto"/>
              <w:rPr>
                <w:rFonts w:cs="Calibri"/>
                <w:lang w:val="fr-FR"/>
              </w:rPr>
            </w:pPr>
            <w:proofErr w:type="spellStart"/>
            <w:r>
              <w:rPr>
                <w:rFonts w:cs="Calibri"/>
                <w:lang w:val="fr-FR"/>
              </w:rPr>
              <w:t>RvSt</w:t>
            </w:r>
            <w:proofErr w:type="spellEnd"/>
          </w:p>
        </w:tc>
        <w:tc>
          <w:tcPr>
            <w:tcW w:w="5670" w:type="dxa"/>
            <w:shd w:val="clear" w:color="auto" w:fill="auto"/>
          </w:tcPr>
          <w:p w14:paraId="763B785E" w14:textId="77777777" w:rsidR="00E33430" w:rsidRPr="00021383" w:rsidRDefault="00E33430" w:rsidP="00021383">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opmerkingen</w:t>
            </w:r>
            <w:proofErr w:type="spellEnd"/>
            <w:r>
              <w:rPr>
                <w:rFonts w:cs="Calibri"/>
                <w:bCs/>
                <w:lang w:val="fr-FR"/>
              </w:rPr>
              <w:t>.</w:t>
            </w:r>
          </w:p>
        </w:tc>
        <w:tc>
          <w:tcPr>
            <w:tcW w:w="5953" w:type="dxa"/>
            <w:shd w:val="clear" w:color="auto" w:fill="auto"/>
          </w:tcPr>
          <w:p w14:paraId="6285B4A5" w14:textId="77777777" w:rsidR="00E33430" w:rsidRPr="00BA6FE6" w:rsidRDefault="00E33430" w:rsidP="00021383">
            <w:pPr>
              <w:spacing w:after="0" w:line="240" w:lineRule="auto"/>
              <w:jc w:val="both"/>
              <w:rPr>
                <w:rFonts w:cs="Calibri"/>
                <w:bCs/>
                <w:lang w:val="fr-FR"/>
              </w:rPr>
            </w:pPr>
            <w:r>
              <w:rPr>
                <w:rFonts w:cs="Calibri"/>
                <w:bCs/>
                <w:lang w:val="fr-FR"/>
              </w:rPr>
              <w:t>Pas de remarques.</w:t>
            </w:r>
          </w:p>
        </w:tc>
      </w:tr>
      <w:tr w:rsidR="00E33430" w:rsidRPr="00E33430" w14:paraId="1AECB3A3" w14:textId="77777777" w:rsidTr="000E1272">
        <w:trPr>
          <w:trHeight w:val="377"/>
        </w:trPr>
        <w:tc>
          <w:tcPr>
            <w:tcW w:w="2122" w:type="dxa"/>
          </w:tcPr>
          <w:p w14:paraId="21A052B5" w14:textId="2DC0D62C" w:rsidR="00E33430" w:rsidRDefault="00E33430" w:rsidP="00021383">
            <w:pPr>
              <w:spacing w:after="0" w:line="240" w:lineRule="auto"/>
              <w:rPr>
                <w:rFonts w:cs="Calibri"/>
                <w:lang w:val="fr-FR"/>
              </w:rPr>
            </w:pPr>
            <w:proofErr w:type="spellStart"/>
            <w:r>
              <w:rPr>
                <w:rFonts w:cs="Calibri"/>
                <w:lang w:val="fr-FR"/>
              </w:rPr>
              <w:t>Commentaar</w:t>
            </w:r>
            <w:proofErr w:type="spellEnd"/>
            <w:r>
              <w:rPr>
                <w:rFonts w:cs="Calibri"/>
                <w:lang w:val="fr-FR"/>
              </w:rPr>
              <w:t xml:space="preserve"> 1668</w:t>
            </w:r>
          </w:p>
        </w:tc>
        <w:tc>
          <w:tcPr>
            <w:tcW w:w="5670" w:type="dxa"/>
            <w:shd w:val="clear" w:color="auto" w:fill="auto"/>
          </w:tcPr>
          <w:p w14:paraId="59E52C60" w14:textId="77777777" w:rsidR="00E33430" w:rsidRDefault="00E33430" w:rsidP="00F3239D">
            <w:pPr>
              <w:spacing w:after="0" w:line="240" w:lineRule="auto"/>
              <w:jc w:val="both"/>
              <w:rPr>
                <w:rFonts w:cs="Calibri"/>
                <w:bCs/>
                <w:lang w:val="nl-NL"/>
              </w:rPr>
            </w:pPr>
            <w:r>
              <w:rPr>
                <w:rFonts w:cs="Calibri"/>
                <w:bCs/>
                <w:lang w:val="nl-NL"/>
              </w:rPr>
              <w:t>Artikel 9</w:t>
            </w:r>
            <w:r w:rsidRPr="002157CF">
              <w:rPr>
                <w:rFonts w:cs="Calibri"/>
                <w:bCs/>
                <w:lang w:val="nl-NL"/>
              </w:rPr>
              <w:t xml:space="preserve">:16, § 1, derde lid, tweede zin, van hetzelfde Wetboek wordt tijdelijk gelezen als </w:t>
            </w:r>
            <w:proofErr w:type="gramStart"/>
            <w:r w:rsidRPr="002157CF">
              <w:rPr>
                <w:rFonts w:cs="Calibri"/>
                <w:bCs/>
                <w:lang w:val="nl-NL"/>
              </w:rPr>
              <w:t>volgt :</w:t>
            </w:r>
            <w:proofErr w:type="gramEnd"/>
            <w:r w:rsidRPr="002157CF">
              <w:rPr>
                <w:rFonts w:cs="Calibri"/>
                <w:bCs/>
                <w:lang w:val="nl-NL"/>
              </w:rPr>
              <w:t xml:space="preserve"> </w:t>
            </w:r>
          </w:p>
          <w:p w14:paraId="47E44946" w14:textId="77777777" w:rsidR="00E33430" w:rsidRPr="002157CF" w:rsidRDefault="00E33430" w:rsidP="00F3239D">
            <w:pPr>
              <w:spacing w:after="0" w:line="240" w:lineRule="auto"/>
              <w:jc w:val="both"/>
              <w:rPr>
                <w:rFonts w:cs="Calibri"/>
                <w:bCs/>
                <w:lang w:val="nl-NL"/>
              </w:rPr>
            </w:pPr>
          </w:p>
          <w:p w14:paraId="1E91B5D0" w14:textId="1BDBD993" w:rsidR="00E33430" w:rsidRDefault="00E33430" w:rsidP="00021383">
            <w:pPr>
              <w:spacing w:after="0" w:line="240" w:lineRule="auto"/>
              <w:jc w:val="both"/>
              <w:rPr>
                <w:rFonts w:cs="Calibri"/>
                <w:bCs/>
                <w:lang w:val="fr-FR"/>
              </w:rPr>
            </w:pPr>
            <w:r w:rsidRPr="002157CF">
              <w:rPr>
                <w:rFonts w:cs="Calibri"/>
                <w:bCs/>
                <w:lang w:val="nl-NL"/>
              </w:rPr>
              <w:t xml:space="preserve">“Het elektronische communicatiemiddel moet de in het eerste lid bedoelde leden bovendien in staat stellen om deel te nemen aan de beraadslagingen en vragen te stellen, tenzij het bestuursorgaan in de oproeping tot de algemene vergadering motiveert waarom de </w:t>
            </w:r>
            <w:proofErr w:type="gramStart"/>
            <w:r w:rsidRPr="002157CF">
              <w:rPr>
                <w:rFonts w:cs="Calibri"/>
                <w:bCs/>
                <w:lang w:val="nl-NL"/>
              </w:rPr>
              <w:t>VZW</w:t>
            </w:r>
            <w:proofErr w:type="gramEnd"/>
            <w:r w:rsidRPr="002157CF">
              <w:rPr>
                <w:rFonts w:cs="Calibri"/>
                <w:bCs/>
                <w:lang w:val="nl-NL"/>
              </w:rPr>
              <w:t xml:space="preserve"> niet over dergelijk elektronisch communicatiemiddel beschikt.”. </w:t>
            </w:r>
          </w:p>
        </w:tc>
        <w:tc>
          <w:tcPr>
            <w:tcW w:w="5953" w:type="dxa"/>
            <w:shd w:val="clear" w:color="auto" w:fill="auto"/>
          </w:tcPr>
          <w:p w14:paraId="5C369965" w14:textId="77777777" w:rsidR="00E33430" w:rsidRDefault="00E33430" w:rsidP="00F3239D">
            <w:pPr>
              <w:spacing w:after="0" w:line="240" w:lineRule="auto"/>
              <w:jc w:val="both"/>
              <w:rPr>
                <w:rFonts w:cs="Calibri"/>
                <w:bCs/>
                <w:lang w:val="fr-FR"/>
              </w:rPr>
            </w:pPr>
            <w:r w:rsidRPr="00C237F3">
              <w:rPr>
                <w:rFonts w:cs="Calibri"/>
                <w:bCs/>
                <w:lang w:val="fr-FR"/>
              </w:rPr>
              <w:t xml:space="preserve">L’article 9 :16, § 1er, </w:t>
            </w:r>
            <w:proofErr w:type="spellStart"/>
            <w:r w:rsidRPr="00C237F3">
              <w:rPr>
                <w:rFonts w:cs="Calibri"/>
                <w:bCs/>
                <w:lang w:val="fr-FR"/>
              </w:rPr>
              <w:t>alinéa</w:t>
            </w:r>
            <w:proofErr w:type="spellEnd"/>
            <w:r w:rsidRPr="00C237F3">
              <w:rPr>
                <w:rFonts w:cs="Calibri"/>
                <w:bCs/>
                <w:lang w:val="fr-FR"/>
              </w:rPr>
              <w:t xml:space="preserve"> 3, </w:t>
            </w:r>
            <w:proofErr w:type="spellStart"/>
            <w:r w:rsidRPr="00C237F3">
              <w:rPr>
                <w:rFonts w:cs="Calibri"/>
                <w:bCs/>
                <w:lang w:val="fr-FR"/>
              </w:rPr>
              <w:t>deuxième</w:t>
            </w:r>
            <w:proofErr w:type="spellEnd"/>
            <w:r w:rsidRPr="00C237F3">
              <w:rPr>
                <w:rFonts w:cs="Calibri"/>
                <w:bCs/>
                <w:lang w:val="fr-FR"/>
              </w:rPr>
              <w:t xml:space="preserve"> phrase, du </w:t>
            </w:r>
            <w:proofErr w:type="spellStart"/>
            <w:r w:rsidRPr="00C237F3">
              <w:rPr>
                <w:rFonts w:cs="Calibri"/>
                <w:bCs/>
                <w:lang w:val="fr-FR"/>
              </w:rPr>
              <w:t>même</w:t>
            </w:r>
            <w:proofErr w:type="spellEnd"/>
            <w:r w:rsidRPr="00C237F3">
              <w:rPr>
                <w:rFonts w:cs="Calibri"/>
                <w:bCs/>
                <w:lang w:val="fr-FR"/>
              </w:rPr>
              <w:t xml:space="preserve"> Code est temporairement lu comme suit : </w:t>
            </w:r>
          </w:p>
          <w:p w14:paraId="35A78BFD" w14:textId="77777777" w:rsidR="00E33430" w:rsidRPr="00C237F3" w:rsidRDefault="00E33430" w:rsidP="00F3239D">
            <w:pPr>
              <w:spacing w:after="0" w:line="240" w:lineRule="auto"/>
              <w:jc w:val="both"/>
              <w:rPr>
                <w:rFonts w:cs="Calibri"/>
                <w:bCs/>
                <w:lang w:val="fr-FR"/>
              </w:rPr>
            </w:pPr>
          </w:p>
          <w:p w14:paraId="56F89EB0" w14:textId="77B229A5" w:rsidR="00E33430" w:rsidRDefault="00E33430" w:rsidP="00021383">
            <w:pPr>
              <w:spacing w:after="0" w:line="240" w:lineRule="auto"/>
              <w:jc w:val="both"/>
              <w:rPr>
                <w:rFonts w:cs="Calibri"/>
                <w:bCs/>
                <w:lang w:val="fr-FR"/>
              </w:rPr>
            </w:pPr>
            <w:r w:rsidRPr="00C237F3">
              <w:rPr>
                <w:rFonts w:cs="Calibri"/>
                <w:bCs/>
                <w:lang w:val="fr-FR"/>
              </w:rPr>
              <w:t xml:space="preserve">“Le moyen de communication </w:t>
            </w:r>
            <w:proofErr w:type="spellStart"/>
            <w:r w:rsidRPr="00C237F3">
              <w:rPr>
                <w:rFonts w:cs="Calibri"/>
                <w:bCs/>
                <w:lang w:val="fr-FR"/>
              </w:rPr>
              <w:t>électronique</w:t>
            </w:r>
            <w:proofErr w:type="spellEnd"/>
            <w:r w:rsidRPr="00C237F3">
              <w:rPr>
                <w:rFonts w:cs="Calibri"/>
                <w:bCs/>
                <w:lang w:val="fr-FR"/>
              </w:rPr>
              <w:t xml:space="preserve"> doit en outre permettre aux membres </w:t>
            </w:r>
            <w:proofErr w:type="spellStart"/>
            <w:r w:rsidRPr="00C237F3">
              <w:rPr>
                <w:rFonts w:cs="Calibri"/>
                <w:bCs/>
                <w:lang w:val="fr-FR"/>
              </w:rPr>
              <w:t>visés</w:t>
            </w:r>
            <w:proofErr w:type="spellEnd"/>
            <w:r w:rsidRPr="00C237F3">
              <w:rPr>
                <w:rFonts w:cs="Calibri"/>
                <w:bCs/>
                <w:lang w:val="fr-FR"/>
              </w:rPr>
              <w:t xml:space="preserve"> à l’</w:t>
            </w:r>
            <w:proofErr w:type="spellStart"/>
            <w:r w:rsidRPr="00C237F3">
              <w:rPr>
                <w:rFonts w:cs="Calibri"/>
                <w:bCs/>
                <w:lang w:val="fr-FR"/>
              </w:rPr>
              <w:t>alinéa</w:t>
            </w:r>
            <w:proofErr w:type="spellEnd"/>
            <w:r w:rsidRPr="00C237F3">
              <w:rPr>
                <w:rFonts w:cs="Calibri"/>
                <w:bCs/>
                <w:lang w:val="fr-FR"/>
              </w:rPr>
              <w:t xml:space="preserve"> 1er de participer aux </w:t>
            </w:r>
            <w:proofErr w:type="spellStart"/>
            <w:r w:rsidRPr="00C237F3">
              <w:rPr>
                <w:rFonts w:cs="Calibri"/>
                <w:bCs/>
                <w:lang w:val="fr-FR"/>
              </w:rPr>
              <w:t>délibérations</w:t>
            </w:r>
            <w:proofErr w:type="spellEnd"/>
            <w:r w:rsidRPr="00C237F3">
              <w:rPr>
                <w:rFonts w:cs="Calibri"/>
                <w:bCs/>
                <w:lang w:val="fr-FR"/>
              </w:rPr>
              <w:t xml:space="preserve"> et de poser des questions, à moins que l’organe d’administration ne motive dans la convocation à l’</w:t>
            </w:r>
            <w:proofErr w:type="spellStart"/>
            <w:r w:rsidRPr="00C237F3">
              <w:rPr>
                <w:rFonts w:cs="Calibri"/>
                <w:bCs/>
                <w:lang w:val="fr-FR"/>
              </w:rPr>
              <w:t>assemblée</w:t>
            </w:r>
            <w:proofErr w:type="spellEnd"/>
            <w:r w:rsidRPr="00C237F3">
              <w:rPr>
                <w:rFonts w:cs="Calibri"/>
                <w:bCs/>
                <w:lang w:val="fr-FR"/>
              </w:rPr>
              <w:t xml:space="preserve"> </w:t>
            </w:r>
            <w:proofErr w:type="spellStart"/>
            <w:r w:rsidRPr="00C237F3">
              <w:rPr>
                <w:rFonts w:cs="Calibri"/>
                <w:bCs/>
                <w:lang w:val="fr-FR"/>
              </w:rPr>
              <w:t>générale</w:t>
            </w:r>
            <w:proofErr w:type="spellEnd"/>
            <w:r w:rsidRPr="00C237F3">
              <w:rPr>
                <w:rFonts w:cs="Calibri"/>
                <w:bCs/>
                <w:lang w:val="fr-FR"/>
              </w:rPr>
              <w:t xml:space="preserve"> la raison pour laquelle l’ASBL ne dispose pas d’un tel moyen de communication </w:t>
            </w:r>
            <w:proofErr w:type="spellStart"/>
            <w:r w:rsidRPr="00C237F3">
              <w:rPr>
                <w:rFonts w:cs="Calibri"/>
                <w:bCs/>
                <w:lang w:val="fr-FR"/>
              </w:rPr>
              <w:t>électronique</w:t>
            </w:r>
            <w:proofErr w:type="spellEnd"/>
            <w:r w:rsidRPr="00C237F3">
              <w:rPr>
                <w:rFonts w:cs="Calibri"/>
                <w:bCs/>
                <w:lang w:val="fr-FR"/>
              </w:rPr>
              <w:t>.”.</w:t>
            </w:r>
            <w:r w:rsidRPr="00533DAA">
              <w:rPr>
                <w:rFonts w:cs="Calibri"/>
                <w:bCs/>
                <w:lang w:val="fr-FR"/>
              </w:rPr>
              <w:t xml:space="preserve"> </w:t>
            </w:r>
          </w:p>
        </w:tc>
      </w:tr>
    </w:tbl>
    <w:p w14:paraId="68C68239" w14:textId="77777777" w:rsidR="000D42B6" w:rsidRPr="00235371" w:rsidRDefault="000D42B6">
      <w:pPr>
        <w:rPr>
          <w:lang w:val="fr-FR"/>
        </w:rPr>
      </w:pPr>
    </w:p>
    <w:sectPr w:rsidR="000D42B6" w:rsidRPr="0023537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5C06" w14:textId="77777777" w:rsidR="008244AD" w:rsidRDefault="008244AD" w:rsidP="000D42B6">
      <w:pPr>
        <w:spacing w:after="0" w:line="240" w:lineRule="auto"/>
      </w:pPr>
      <w:r>
        <w:separator/>
      </w:r>
    </w:p>
  </w:endnote>
  <w:endnote w:type="continuationSeparator" w:id="0">
    <w:p w14:paraId="316DAEB6" w14:textId="77777777" w:rsidR="008244AD" w:rsidRDefault="008244A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E0D76" w14:textId="77777777" w:rsidR="008244AD" w:rsidRDefault="008244AD" w:rsidP="000D42B6">
      <w:pPr>
        <w:spacing w:after="0" w:line="240" w:lineRule="auto"/>
      </w:pPr>
      <w:r>
        <w:separator/>
      </w:r>
    </w:p>
  </w:footnote>
  <w:footnote w:type="continuationSeparator" w:id="0">
    <w:p w14:paraId="648D1B78" w14:textId="77777777" w:rsidR="008244AD" w:rsidRDefault="008244A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1383"/>
    <w:rsid w:val="00022081"/>
    <w:rsid w:val="00035BCD"/>
    <w:rsid w:val="000442C7"/>
    <w:rsid w:val="00045500"/>
    <w:rsid w:val="00091D31"/>
    <w:rsid w:val="00094CF7"/>
    <w:rsid w:val="000A151E"/>
    <w:rsid w:val="000B1492"/>
    <w:rsid w:val="000D42B6"/>
    <w:rsid w:val="000E0E04"/>
    <w:rsid w:val="000E1272"/>
    <w:rsid w:val="000F086E"/>
    <w:rsid w:val="000F564E"/>
    <w:rsid w:val="000F6620"/>
    <w:rsid w:val="000F6EBF"/>
    <w:rsid w:val="00104B1C"/>
    <w:rsid w:val="00113585"/>
    <w:rsid w:val="00124FFC"/>
    <w:rsid w:val="001374D6"/>
    <w:rsid w:val="00146897"/>
    <w:rsid w:val="00150133"/>
    <w:rsid w:val="0015110E"/>
    <w:rsid w:val="001554C5"/>
    <w:rsid w:val="00164B7C"/>
    <w:rsid w:val="00170F2D"/>
    <w:rsid w:val="001777AA"/>
    <w:rsid w:val="00177E84"/>
    <w:rsid w:val="001804A0"/>
    <w:rsid w:val="0018145F"/>
    <w:rsid w:val="00195659"/>
    <w:rsid w:val="00196D12"/>
    <w:rsid w:val="001B7299"/>
    <w:rsid w:val="001D3DB0"/>
    <w:rsid w:val="001E57FF"/>
    <w:rsid w:val="001F09AE"/>
    <w:rsid w:val="001F63C9"/>
    <w:rsid w:val="00200CB2"/>
    <w:rsid w:val="002267FC"/>
    <w:rsid w:val="00226F54"/>
    <w:rsid w:val="0023382A"/>
    <w:rsid w:val="00235371"/>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3F02B1"/>
    <w:rsid w:val="004104D8"/>
    <w:rsid w:val="00411720"/>
    <w:rsid w:val="004132C2"/>
    <w:rsid w:val="0041500E"/>
    <w:rsid w:val="00416F6B"/>
    <w:rsid w:val="00417C7D"/>
    <w:rsid w:val="0042128B"/>
    <w:rsid w:val="00427696"/>
    <w:rsid w:val="00430221"/>
    <w:rsid w:val="00433760"/>
    <w:rsid w:val="00440F54"/>
    <w:rsid w:val="00443B76"/>
    <w:rsid w:val="00445510"/>
    <w:rsid w:val="00453D37"/>
    <w:rsid w:val="0046207D"/>
    <w:rsid w:val="00465897"/>
    <w:rsid w:val="00470F7F"/>
    <w:rsid w:val="00472296"/>
    <w:rsid w:val="00474DA0"/>
    <w:rsid w:val="00480CC2"/>
    <w:rsid w:val="004912D1"/>
    <w:rsid w:val="00491926"/>
    <w:rsid w:val="004959E8"/>
    <w:rsid w:val="004A303D"/>
    <w:rsid w:val="004A4EC5"/>
    <w:rsid w:val="004A576D"/>
    <w:rsid w:val="004A59CD"/>
    <w:rsid w:val="004C405E"/>
    <w:rsid w:val="004F2669"/>
    <w:rsid w:val="004F67F5"/>
    <w:rsid w:val="00512C24"/>
    <w:rsid w:val="00521FAE"/>
    <w:rsid w:val="00524011"/>
    <w:rsid w:val="0052623E"/>
    <w:rsid w:val="005365F7"/>
    <w:rsid w:val="00537ECB"/>
    <w:rsid w:val="00552278"/>
    <w:rsid w:val="0057467B"/>
    <w:rsid w:val="005A260D"/>
    <w:rsid w:val="005B33B1"/>
    <w:rsid w:val="005B3DDA"/>
    <w:rsid w:val="005B4D3E"/>
    <w:rsid w:val="005C4486"/>
    <w:rsid w:val="005D0101"/>
    <w:rsid w:val="005D1273"/>
    <w:rsid w:val="005E53AE"/>
    <w:rsid w:val="00602363"/>
    <w:rsid w:val="006028F2"/>
    <w:rsid w:val="00614E83"/>
    <w:rsid w:val="006256B0"/>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244AD"/>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37514"/>
    <w:rsid w:val="00976093"/>
    <w:rsid w:val="009820D3"/>
    <w:rsid w:val="00983194"/>
    <w:rsid w:val="00983DBA"/>
    <w:rsid w:val="00995A4F"/>
    <w:rsid w:val="009A1075"/>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374D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43AF5"/>
    <w:rsid w:val="00B52F92"/>
    <w:rsid w:val="00B561E2"/>
    <w:rsid w:val="00B61010"/>
    <w:rsid w:val="00B62CF1"/>
    <w:rsid w:val="00B70ED6"/>
    <w:rsid w:val="00B77107"/>
    <w:rsid w:val="00B8425D"/>
    <w:rsid w:val="00BA3C4B"/>
    <w:rsid w:val="00BA55BB"/>
    <w:rsid w:val="00BA6FE6"/>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33430"/>
    <w:rsid w:val="00E416B7"/>
    <w:rsid w:val="00E50472"/>
    <w:rsid w:val="00E5159B"/>
    <w:rsid w:val="00E519BE"/>
    <w:rsid w:val="00E5217D"/>
    <w:rsid w:val="00E6238A"/>
    <w:rsid w:val="00E66181"/>
    <w:rsid w:val="00E737B9"/>
    <w:rsid w:val="00E76C5F"/>
    <w:rsid w:val="00E91A57"/>
    <w:rsid w:val="00EB19EC"/>
    <w:rsid w:val="00EE0375"/>
    <w:rsid w:val="00EF53A4"/>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7C0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Normaalweb">
    <w:name w:val="Normal (Web)"/>
    <w:basedOn w:val="Standaard"/>
    <w:uiPriority w:val="99"/>
    <w:unhideWhenUsed/>
    <w:rsid w:val="00614E83"/>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4874">
      <w:bodyDiv w:val="1"/>
      <w:marLeft w:val="0"/>
      <w:marRight w:val="0"/>
      <w:marTop w:val="0"/>
      <w:marBottom w:val="0"/>
      <w:divBdr>
        <w:top w:val="none" w:sz="0" w:space="0" w:color="auto"/>
        <w:left w:val="none" w:sz="0" w:space="0" w:color="auto"/>
        <w:bottom w:val="none" w:sz="0" w:space="0" w:color="auto"/>
        <w:right w:val="none" w:sz="0" w:space="0" w:color="auto"/>
      </w:divBdr>
      <w:divsChild>
        <w:div w:id="611134040">
          <w:marLeft w:val="0"/>
          <w:marRight w:val="0"/>
          <w:marTop w:val="0"/>
          <w:marBottom w:val="0"/>
          <w:divBdr>
            <w:top w:val="none" w:sz="0" w:space="0" w:color="auto"/>
            <w:left w:val="none" w:sz="0" w:space="0" w:color="auto"/>
            <w:bottom w:val="none" w:sz="0" w:space="0" w:color="auto"/>
            <w:right w:val="none" w:sz="0" w:space="0" w:color="auto"/>
          </w:divBdr>
          <w:divsChild>
            <w:div w:id="259526745">
              <w:marLeft w:val="0"/>
              <w:marRight w:val="0"/>
              <w:marTop w:val="0"/>
              <w:marBottom w:val="0"/>
              <w:divBdr>
                <w:top w:val="none" w:sz="0" w:space="0" w:color="auto"/>
                <w:left w:val="none" w:sz="0" w:space="0" w:color="auto"/>
                <w:bottom w:val="none" w:sz="0" w:space="0" w:color="auto"/>
                <w:right w:val="none" w:sz="0" w:space="0" w:color="auto"/>
              </w:divBdr>
              <w:divsChild>
                <w:div w:id="10153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481">
      <w:bodyDiv w:val="1"/>
      <w:marLeft w:val="0"/>
      <w:marRight w:val="0"/>
      <w:marTop w:val="0"/>
      <w:marBottom w:val="0"/>
      <w:divBdr>
        <w:top w:val="none" w:sz="0" w:space="0" w:color="auto"/>
        <w:left w:val="none" w:sz="0" w:space="0" w:color="auto"/>
        <w:bottom w:val="none" w:sz="0" w:space="0" w:color="auto"/>
        <w:right w:val="none" w:sz="0" w:space="0" w:color="auto"/>
      </w:divBdr>
    </w:div>
    <w:div w:id="202983094">
      <w:bodyDiv w:val="1"/>
      <w:marLeft w:val="0"/>
      <w:marRight w:val="0"/>
      <w:marTop w:val="0"/>
      <w:marBottom w:val="0"/>
      <w:divBdr>
        <w:top w:val="none" w:sz="0" w:space="0" w:color="auto"/>
        <w:left w:val="none" w:sz="0" w:space="0" w:color="auto"/>
        <w:bottom w:val="none" w:sz="0" w:space="0" w:color="auto"/>
        <w:right w:val="none" w:sz="0" w:space="0" w:color="auto"/>
      </w:divBdr>
      <w:divsChild>
        <w:div w:id="1102342138">
          <w:marLeft w:val="0"/>
          <w:marRight w:val="0"/>
          <w:marTop w:val="0"/>
          <w:marBottom w:val="0"/>
          <w:divBdr>
            <w:top w:val="none" w:sz="0" w:space="0" w:color="auto"/>
            <w:left w:val="none" w:sz="0" w:space="0" w:color="auto"/>
            <w:bottom w:val="none" w:sz="0" w:space="0" w:color="auto"/>
            <w:right w:val="none" w:sz="0" w:space="0" w:color="auto"/>
          </w:divBdr>
          <w:divsChild>
            <w:div w:id="212540313">
              <w:marLeft w:val="0"/>
              <w:marRight w:val="0"/>
              <w:marTop w:val="0"/>
              <w:marBottom w:val="0"/>
              <w:divBdr>
                <w:top w:val="none" w:sz="0" w:space="0" w:color="auto"/>
                <w:left w:val="none" w:sz="0" w:space="0" w:color="auto"/>
                <w:bottom w:val="none" w:sz="0" w:space="0" w:color="auto"/>
                <w:right w:val="none" w:sz="0" w:space="0" w:color="auto"/>
              </w:divBdr>
              <w:divsChild>
                <w:div w:id="10226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1096">
      <w:bodyDiv w:val="1"/>
      <w:marLeft w:val="0"/>
      <w:marRight w:val="0"/>
      <w:marTop w:val="0"/>
      <w:marBottom w:val="0"/>
      <w:divBdr>
        <w:top w:val="none" w:sz="0" w:space="0" w:color="auto"/>
        <w:left w:val="none" w:sz="0" w:space="0" w:color="auto"/>
        <w:bottom w:val="none" w:sz="0" w:space="0" w:color="auto"/>
        <w:right w:val="none" w:sz="0" w:space="0" w:color="auto"/>
      </w:divBdr>
      <w:divsChild>
        <w:div w:id="537746202">
          <w:marLeft w:val="0"/>
          <w:marRight w:val="0"/>
          <w:marTop w:val="0"/>
          <w:marBottom w:val="0"/>
          <w:divBdr>
            <w:top w:val="none" w:sz="0" w:space="0" w:color="auto"/>
            <w:left w:val="none" w:sz="0" w:space="0" w:color="auto"/>
            <w:bottom w:val="none" w:sz="0" w:space="0" w:color="auto"/>
            <w:right w:val="none" w:sz="0" w:space="0" w:color="auto"/>
          </w:divBdr>
          <w:divsChild>
            <w:div w:id="1329359677">
              <w:marLeft w:val="0"/>
              <w:marRight w:val="0"/>
              <w:marTop w:val="0"/>
              <w:marBottom w:val="0"/>
              <w:divBdr>
                <w:top w:val="none" w:sz="0" w:space="0" w:color="auto"/>
                <w:left w:val="none" w:sz="0" w:space="0" w:color="auto"/>
                <w:bottom w:val="none" w:sz="0" w:space="0" w:color="auto"/>
                <w:right w:val="none" w:sz="0" w:space="0" w:color="auto"/>
              </w:divBdr>
              <w:divsChild>
                <w:div w:id="10112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705">
      <w:bodyDiv w:val="1"/>
      <w:marLeft w:val="0"/>
      <w:marRight w:val="0"/>
      <w:marTop w:val="0"/>
      <w:marBottom w:val="0"/>
      <w:divBdr>
        <w:top w:val="none" w:sz="0" w:space="0" w:color="auto"/>
        <w:left w:val="none" w:sz="0" w:space="0" w:color="auto"/>
        <w:bottom w:val="none" w:sz="0" w:space="0" w:color="auto"/>
        <w:right w:val="none" w:sz="0" w:space="0" w:color="auto"/>
      </w:divBdr>
      <w:divsChild>
        <w:div w:id="1291590725">
          <w:marLeft w:val="0"/>
          <w:marRight w:val="0"/>
          <w:marTop w:val="0"/>
          <w:marBottom w:val="0"/>
          <w:divBdr>
            <w:top w:val="none" w:sz="0" w:space="0" w:color="auto"/>
            <w:left w:val="none" w:sz="0" w:space="0" w:color="auto"/>
            <w:bottom w:val="none" w:sz="0" w:space="0" w:color="auto"/>
            <w:right w:val="none" w:sz="0" w:space="0" w:color="auto"/>
          </w:divBdr>
          <w:divsChild>
            <w:div w:id="2129811741">
              <w:marLeft w:val="0"/>
              <w:marRight w:val="0"/>
              <w:marTop w:val="0"/>
              <w:marBottom w:val="0"/>
              <w:divBdr>
                <w:top w:val="none" w:sz="0" w:space="0" w:color="auto"/>
                <w:left w:val="none" w:sz="0" w:space="0" w:color="auto"/>
                <w:bottom w:val="none" w:sz="0" w:space="0" w:color="auto"/>
                <w:right w:val="none" w:sz="0" w:space="0" w:color="auto"/>
              </w:divBdr>
              <w:divsChild>
                <w:div w:id="3025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37343">
      <w:bodyDiv w:val="1"/>
      <w:marLeft w:val="0"/>
      <w:marRight w:val="0"/>
      <w:marTop w:val="0"/>
      <w:marBottom w:val="0"/>
      <w:divBdr>
        <w:top w:val="none" w:sz="0" w:space="0" w:color="auto"/>
        <w:left w:val="none" w:sz="0" w:space="0" w:color="auto"/>
        <w:bottom w:val="none" w:sz="0" w:space="0" w:color="auto"/>
        <w:right w:val="none" w:sz="0" w:space="0" w:color="auto"/>
      </w:divBdr>
      <w:divsChild>
        <w:div w:id="1354452434">
          <w:marLeft w:val="0"/>
          <w:marRight w:val="0"/>
          <w:marTop w:val="0"/>
          <w:marBottom w:val="0"/>
          <w:divBdr>
            <w:top w:val="none" w:sz="0" w:space="0" w:color="auto"/>
            <w:left w:val="none" w:sz="0" w:space="0" w:color="auto"/>
            <w:bottom w:val="none" w:sz="0" w:space="0" w:color="auto"/>
            <w:right w:val="none" w:sz="0" w:space="0" w:color="auto"/>
          </w:divBdr>
          <w:divsChild>
            <w:div w:id="1163160155">
              <w:marLeft w:val="0"/>
              <w:marRight w:val="0"/>
              <w:marTop w:val="0"/>
              <w:marBottom w:val="0"/>
              <w:divBdr>
                <w:top w:val="none" w:sz="0" w:space="0" w:color="auto"/>
                <w:left w:val="none" w:sz="0" w:space="0" w:color="auto"/>
                <w:bottom w:val="none" w:sz="0" w:space="0" w:color="auto"/>
                <w:right w:val="none" w:sz="0" w:space="0" w:color="auto"/>
              </w:divBdr>
              <w:divsChild>
                <w:div w:id="7072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6795">
      <w:bodyDiv w:val="1"/>
      <w:marLeft w:val="0"/>
      <w:marRight w:val="0"/>
      <w:marTop w:val="0"/>
      <w:marBottom w:val="0"/>
      <w:divBdr>
        <w:top w:val="none" w:sz="0" w:space="0" w:color="auto"/>
        <w:left w:val="none" w:sz="0" w:space="0" w:color="auto"/>
        <w:bottom w:val="none" w:sz="0" w:space="0" w:color="auto"/>
        <w:right w:val="none" w:sz="0" w:space="0" w:color="auto"/>
      </w:divBdr>
      <w:divsChild>
        <w:div w:id="1463184966">
          <w:marLeft w:val="0"/>
          <w:marRight w:val="0"/>
          <w:marTop w:val="0"/>
          <w:marBottom w:val="0"/>
          <w:divBdr>
            <w:top w:val="none" w:sz="0" w:space="0" w:color="auto"/>
            <w:left w:val="none" w:sz="0" w:space="0" w:color="auto"/>
            <w:bottom w:val="none" w:sz="0" w:space="0" w:color="auto"/>
            <w:right w:val="none" w:sz="0" w:space="0" w:color="auto"/>
          </w:divBdr>
          <w:divsChild>
            <w:div w:id="1541476165">
              <w:marLeft w:val="0"/>
              <w:marRight w:val="0"/>
              <w:marTop w:val="0"/>
              <w:marBottom w:val="0"/>
              <w:divBdr>
                <w:top w:val="none" w:sz="0" w:space="0" w:color="auto"/>
                <w:left w:val="none" w:sz="0" w:space="0" w:color="auto"/>
                <w:bottom w:val="none" w:sz="0" w:space="0" w:color="auto"/>
                <w:right w:val="none" w:sz="0" w:space="0" w:color="auto"/>
              </w:divBdr>
              <w:divsChild>
                <w:div w:id="1602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63">
      <w:bodyDiv w:val="1"/>
      <w:marLeft w:val="0"/>
      <w:marRight w:val="0"/>
      <w:marTop w:val="0"/>
      <w:marBottom w:val="0"/>
      <w:divBdr>
        <w:top w:val="none" w:sz="0" w:space="0" w:color="auto"/>
        <w:left w:val="none" w:sz="0" w:space="0" w:color="auto"/>
        <w:bottom w:val="none" w:sz="0" w:space="0" w:color="auto"/>
        <w:right w:val="none" w:sz="0" w:space="0" w:color="auto"/>
      </w:divBdr>
    </w:div>
    <w:div w:id="905455978">
      <w:bodyDiv w:val="1"/>
      <w:marLeft w:val="0"/>
      <w:marRight w:val="0"/>
      <w:marTop w:val="0"/>
      <w:marBottom w:val="0"/>
      <w:divBdr>
        <w:top w:val="none" w:sz="0" w:space="0" w:color="auto"/>
        <w:left w:val="none" w:sz="0" w:space="0" w:color="auto"/>
        <w:bottom w:val="none" w:sz="0" w:space="0" w:color="auto"/>
        <w:right w:val="none" w:sz="0" w:space="0" w:color="auto"/>
      </w:divBdr>
      <w:divsChild>
        <w:div w:id="1352489381">
          <w:marLeft w:val="0"/>
          <w:marRight w:val="0"/>
          <w:marTop w:val="0"/>
          <w:marBottom w:val="0"/>
          <w:divBdr>
            <w:top w:val="none" w:sz="0" w:space="0" w:color="auto"/>
            <w:left w:val="none" w:sz="0" w:space="0" w:color="auto"/>
            <w:bottom w:val="none" w:sz="0" w:space="0" w:color="auto"/>
            <w:right w:val="none" w:sz="0" w:space="0" w:color="auto"/>
          </w:divBdr>
          <w:divsChild>
            <w:div w:id="489366953">
              <w:marLeft w:val="0"/>
              <w:marRight w:val="0"/>
              <w:marTop w:val="0"/>
              <w:marBottom w:val="0"/>
              <w:divBdr>
                <w:top w:val="none" w:sz="0" w:space="0" w:color="auto"/>
                <w:left w:val="none" w:sz="0" w:space="0" w:color="auto"/>
                <w:bottom w:val="none" w:sz="0" w:space="0" w:color="auto"/>
                <w:right w:val="none" w:sz="0" w:space="0" w:color="auto"/>
              </w:divBdr>
              <w:divsChild>
                <w:div w:id="9479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3801">
      <w:bodyDiv w:val="1"/>
      <w:marLeft w:val="0"/>
      <w:marRight w:val="0"/>
      <w:marTop w:val="0"/>
      <w:marBottom w:val="0"/>
      <w:divBdr>
        <w:top w:val="none" w:sz="0" w:space="0" w:color="auto"/>
        <w:left w:val="none" w:sz="0" w:space="0" w:color="auto"/>
        <w:bottom w:val="none" w:sz="0" w:space="0" w:color="auto"/>
        <w:right w:val="none" w:sz="0" w:space="0" w:color="auto"/>
      </w:divBdr>
      <w:divsChild>
        <w:div w:id="52703440">
          <w:marLeft w:val="0"/>
          <w:marRight w:val="0"/>
          <w:marTop w:val="0"/>
          <w:marBottom w:val="0"/>
          <w:divBdr>
            <w:top w:val="none" w:sz="0" w:space="0" w:color="auto"/>
            <w:left w:val="none" w:sz="0" w:space="0" w:color="auto"/>
            <w:bottom w:val="none" w:sz="0" w:space="0" w:color="auto"/>
            <w:right w:val="none" w:sz="0" w:space="0" w:color="auto"/>
          </w:divBdr>
          <w:divsChild>
            <w:div w:id="1053382735">
              <w:marLeft w:val="0"/>
              <w:marRight w:val="0"/>
              <w:marTop w:val="0"/>
              <w:marBottom w:val="0"/>
              <w:divBdr>
                <w:top w:val="none" w:sz="0" w:space="0" w:color="auto"/>
                <w:left w:val="none" w:sz="0" w:space="0" w:color="auto"/>
                <w:bottom w:val="none" w:sz="0" w:space="0" w:color="auto"/>
                <w:right w:val="none" w:sz="0" w:space="0" w:color="auto"/>
              </w:divBdr>
              <w:divsChild>
                <w:div w:id="18394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4036">
      <w:bodyDiv w:val="1"/>
      <w:marLeft w:val="0"/>
      <w:marRight w:val="0"/>
      <w:marTop w:val="0"/>
      <w:marBottom w:val="0"/>
      <w:divBdr>
        <w:top w:val="none" w:sz="0" w:space="0" w:color="auto"/>
        <w:left w:val="none" w:sz="0" w:space="0" w:color="auto"/>
        <w:bottom w:val="none" w:sz="0" w:space="0" w:color="auto"/>
        <w:right w:val="none" w:sz="0" w:space="0" w:color="auto"/>
      </w:divBdr>
    </w:div>
    <w:div w:id="1852068166">
      <w:bodyDiv w:val="1"/>
      <w:marLeft w:val="0"/>
      <w:marRight w:val="0"/>
      <w:marTop w:val="0"/>
      <w:marBottom w:val="0"/>
      <w:divBdr>
        <w:top w:val="none" w:sz="0" w:space="0" w:color="auto"/>
        <w:left w:val="none" w:sz="0" w:space="0" w:color="auto"/>
        <w:bottom w:val="none" w:sz="0" w:space="0" w:color="auto"/>
        <w:right w:val="none" w:sz="0" w:space="0" w:color="auto"/>
      </w:divBdr>
    </w:div>
    <w:div w:id="1855027974">
      <w:bodyDiv w:val="1"/>
      <w:marLeft w:val="0"/>
      <w:marRight w:val="0"/>
      <w:marTop w:val="0"/>
      <w:marBottom w:val="0"/>
      <w:divBdr>
        <w:top w:val="none" w:sz="0" w:space="0" w:color="auto"/>
        <w:left w:val="none" w:sz="0" w:space="0" w:color="auto"/>
        <w:bottom w:val="none" w:sz="0" w:space="0" w:color="auto"/>
        <w:right w:val="none" w:sz="0" w:space="0" w:color="auto"/>
      </w:divBdr>
      <w:divsChild>
        <w:div w:id="461844643">
          <w:marLeft w:val="0"/>
          <w:marRight w:val="0"/>
          <w:marTop w:val="0"/>
          <w:marBottom w:val="0"/>
          <w:divBdr>
            <w:top w:val="none" w:sz="0" w:space="0" w:color="auto"/>
            <w:left w:val="none" w:sz="0" w:space="0" w:color="auto"/>
            <w:bottom w:val="none" w:sz="0" w:space="0" w:color="auto"/>
            <w:right w:val="none" w:sz="0" w:space="0" w:color="auto"/>
          </w:divBdr>
          <w:divsChild>
            <w:div w:id="685208014">
              <w:marLeft w:val="0"/>
              <w:marRight w:val="0"/>
              <w:marTop w:val="0"/>
              <w:marBottom w:val="0"/>
              <w:divBdr>
                <w:top w:val="none" w:sz="0" w:space="0" w:color="auto"/>
                <w:left w:val="none" w:sz="0" w:space="0" w:color="auto"/>
                <w:bottom w:val="none" w:sz="0" w:space="0" w:color="auto"/>
                <w:right w:val="none" w:sz="0" w:space="0" w:color="auto"/>
              </w:divBdr>
              <w:divsChild>
                <w:div w:id="2656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4108">
      <w:bodyDiv w:val="1"/>
      <w:marLeft w:val="0"/>
      <w:marRight w:val="0"/>
      <w:marTop w:val="0"/>
      <w:marBottom w:val="0"/>
      <w:divBdr>
        <w:top w:val="none" w:sz="0" w:space="0" w:color="auto"/>
        <w:left w:val="none" w:sz="0" w:space="0" w:color="auto"/>
        <w:bottom w:val="none" w:sz="0" w:space="0" w:color="auto"/>
        <w:right w:val="none" w:sz="0" w:space="0" w:color="auto"/>
      </w:divBdr>
      <w:divsChild>
        <w:div w:id="75446042">
          <w:marLeft w:val="0"/>
          <w:marRight w:val="0"/>
          <w:marTop w:val="0"/>
          <w:marBottom w:val="0"/>
          <w:divBdr>
            <w:top w:val="none" w:sz="0" w:space="0" w:color="auto"/>
            <w:left w:val="none" w:sz="0" w:space="0" w:color="auto"/>
            <w:bottom w:val="none" w:sz="0" w:space="0" w:color="auto"/>
            <w:right w:val="none" w:sz="0" w:space="0" w:color="auto"/>
          </w:divBdr>
          <w:divsChild>
            <w:div w:id="750661118">
              <w:marLeft w:val="0"/>
              <w:marRight w:val="0"/>
              <w:marTop w:val="0"/>
              <w:marBottom w:val="0"/>
              <w:divBdr>
                <w:top w:val="none" w:sz="0" w:space="0" w:color="auto"/>
                <w:left w:val="none" w:sz="0" w:space="0" w:color="auto"/>
                <w:bottom w:val="none" w:sz="0" w:space="0" w:color="auto"/>
                <w:right w:val="none" w:sz="0" w:space="0" w:color="auto"/>
              </w:divBdr>
              <w:divsChild>
                <w:div w:id="4809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1647">
      <w:bodyDiv w:val="1"/>
      <w:marLeft w:val="0"/>
      <w:marRight w:val="0"/>
      <w:marTop w:val="0"/>
      <w:marBottom w:val="0"/>
      <w:divBdr>
        <w:top w:val="none" w:sz="0" w:space="0" w:color="auto"/>
        <w:left w:val="none" w:sz="0" w:space="0" w:color="auto"/>
        <w:bottom w:val="none" w:sz="0" w:space="0" w:color="auto"/>
        <w:right w:val="none" w:sz="0" w:space="0" w:color="auto"/>
      </w:divBdr>
      <w:divsChild>
        <w:div w:id="80226393">
          <w:marLeft w:val="0"/>
          <w:marRight w:val="0"/>
          <w:marTop w:val="0"/>
          <w:marBottom w:val="0"/>
          <w:divBdr>
            <w:top w:val="none" w:sz="0" w:space="0" w:color="auto"/>
            <w:left w:val="none" w:sz="0" w:space="0" w:color="auto"/>
            <w:bottom w:val="none" w:sz="0" w:space="0" w:color="auto"/>
            <w:right w:val="none" w:sz="0" w:space="0" w:color="auto"/>
          </w:divBdr>
          <w:divsChild>
            <w:div w:id="135729967">
              <w:marLeft w:val="0"/>
              <w:marRight w:val="0"/>
              <w:marTop w:val="0"/>
              <w:marBottom w:val="0"/>
              <w:divBdr>
                <w:top w:val="none" w:sz="0" w:space="0" w:color="auto"/>
                <w:left w:val="none" w:sz="0" w:space="0" w:color="auto"/>
                <w:bottom w:val="none" w:sz="0" w:space="0" w:color="auto"/>
                <w:right w:val="none" w:sz="0" w:space="0" w:color="auto"/>
              </w:divBdr>
              <w:divsChild>
                <w:div w:id="19042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BED3-7554-3841-B112-5D833835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1649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272</cp:revision>
  <dcterms:created xsi:type="dcterms:W3CDTF">2019-10-18T10:25:00Z</dcterms:created>
  <dcterms:modified xsi:type="dcterms:W3CDTF">2022-01-05T19:02:00Z</dcterms:modified>
</cp:coreProperties>
</file>